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42205">
      <w:pPr>
        <w:spacing w:line="360" w:lineRule="exact"/>
        <w:rPr>
          <w:rFonts w:hint="eastAsia" w:ascii="仿宋" w:hAnsi="仿宋" w:eastAsia="仿宋"/>
          <w:color w:val="auto"/>
          <w:sz w:val="28"/>
          <w:szCs w:val="28"/>
          <w:highlight w:val="none"/>
        </w:rPr>
      </w:pPr>
      <w:bookmarkStart w:id="0" w:name="_GoBack"/>
      <w:bookmarkEnd w:id="0"/>
    </w:p>
    <w:p w14:paraId="0B045182">
      <w:pPr>
        <w:spacing w:line="720" w:lineRule="auto"/>
        <w:jc w:val="center"/>
        <w:rPr>
          <w:rFonts w:hint="eastAsia" w:ascii="宋体" w:hAnsi="宋体"/>
          <w:b/>
          <w:color w:val="auto"/>
          <w:sz w:val="32"/>
          <w:szCs w:val="32"/>
          <w:highlight w:val="none"/>
        </w:rPr>
      </w:pPr>
      <w:r>
        <w:rPr>
          <w:rFonts w:hint="eastAsia" w:ascii="宋体" w:hAnsi="宋体"/>
          <w:b/>
          <w:color w:val="auto"/>
          <w:sz w:val="32"/>
          <w:szCs w:val="32"/>
          <w:highlight w:val="none"/>
        </w:rPr>
        <w:t>第二部分 竞租须知</w:t>
      </w:r>
    </w:p>
    <w:p w14:paraId="44AEB8DB">
      <w:pPr>
        <w:spacing w:line="52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竞租须知主要告知竞租人在竞租过程中应当注意的有关事项。按照企业国有资产的相关规定，结合招租的习惯性做法，竞租须知的内容如下：</w:t>
      </w:r>
    </w:p>
    <w:p w14:paraId="61513BEF">
      <w:pPr>
        <w:spacing w:line="520" w:lineRule="exact"/>
        <w:jc w:val="center"/>
        <w:rPr>
          <w:rFonts w:ascii="仿宋" w:hAnsi="仿宋" w:eastAsia="仿宋"/>
          <w:color w:val="auto"/>
          <w:sz w:val="28"/>
          <w:szCs w:val="28"/>
          <w:highlight w:val="none"/>
        </w:rPr>
      </w:pPr>
      <w:r>
        <w:rPr>
          <w:rFonts w:hint="eastAsia" w:ascii="仿宋" w:hAnsi="仿宋" w:eastAsia="仿宋"/>
          <w:b/>
          <w:color w:val="auto"/>
          <w:sz w:val="28"/>
          <w:szCs w:val="28"/>
          <w:highlight w:val="none"/>
        </w:rPr>
        <w:t>竞租须知</w:t>
      </w:r>
    </w:p>
    <w:p w14:paraId="33EDA271">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为保证本次招租活动顺利进行，维护招租人与竞租人的合法权利，招租人盐城市灌东盐场发展有限公司对养殖池塘、匡围</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水库</w:t>
      </w:r>
      <w:r>
        <w:rPr>
          <w:rFonts w:hint="eastAsia" w:ascii="仿宋" w:hAnsi="仿宋" w:eastAsia="仿宋"/>
          <w:color w:val="auto"/>
          <w:sz w:val="28"/>
          <w:szCs w:val="28"/>
          <w:highlight w:val="none"/>
          <w:lang w:val="en-US" w:eastAsia="zh-CN"/>
        </w:rPr>
        <w:t>及光伏水面</w:t>
      </w:r>
      <w:r>
        <w:rPr>
          <w:rFonts w:hint="eastAsia" w:ascii="仿宋" w:hAnsi="仿宋" w:eastAsia="仿宋"/>
          <w:color w:val="auto"/>
          <w:sz w:val="28"/>
          <w:szCs w:val="28"/>
          <w:highlight w:val="none"/>
        </w:rPr>
        <w:t>（下统称池塘）遵循“公开、公平、公正”的原则，依法组织公开竞租活动。</w:t>
      </w:r>
    </w:p>
    <w:p w14:paraId="3B7F35CD">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本次招租按照企业国有资产规定和公开竞租惯例，特作如下告知：</w:t>
      </w:r>
    </w:p>
    <w:p w14:paraId="57D860FD">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一、竞租人必须按照《盐城市灌东盐场发展有限公司</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池塘公开招租公告</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第二次</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》的要求，认真查阅《招租池塘情况一览表》相关池塘信息，按时足额汇付竞租保证金和预付租金，制作和密封竞租材料、提交竞租材料、指派人员参加等，并了解第三部分招租评审规则。</w:t>
      </w:r>
    </w:p>
    <w:p w14:paraId="4664EFC8">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对于本次招租的海淡水池塘，如租期为不超过一年的，承租人不得放养生长周期超过一年的鱼</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虾、贝类等水产品。</w:t>
      </w:r>
    </w:p>
    <w:p w14:paraId="12576F8F">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特别提示：竞租人不得存在借名竞租、挂靠竞租等情形。竞租人中标后，必须自行组织生产，不得擅自转租分租，且不得以任何理由与此前曾积欠招租人租金的单位或个人、或曾占用招租人池塘或土地的单位或个人、或与招租人存在未决的争议纠纷的单位或个人进行任何形式的合作（招租人书面同意的除外）。</w:t>
      </w:r>
    </w:p>
    <w:p w14:paraId="40400770">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本次招租的池塘及其水、电、路等设施是以现状为准进行招租，在本期租赁期间，招租人不再对池塘及其设施进行修缮或添置等投入。如承租人需对池塘及其设施进行改造或添置的，须</w:t>
      </w:r>
      <w:r>
        <w:rPr>
          <w:rFonts w:hint="eastAsia" w:ascii="仿宋" w:hAnsi="仿宋" w:eastAsia="仿宋"/>
          <w:color w:val="auto"/>
          <w:sz w:val="28"/>
          <w:szCs w:val="28"/>
          <w:highlight w:val="none"/>
          <w:lang w:val="en-US" w:eastAsia="zh-CN"/>
        </w:rPr>
        <w:t>经养殖区同意并</w:t>
      </w:r>
      <w:r>
        <w:rPr>
          <w:rFonts w:hint="eastAsia" w:ascii="仿宋" w:hAnsi="仿宋" w:eastAsia="仿宋"/>
          <w:color w:val="auto"/>
          <w:sz w:val="28"/>
          <w:szCs w:val="28"/>
          <w:highlight w:val="none"/>
        </w:rPr>
        <w:t>书面报请甲方安全环保部门，待甲方书面批复同意后方可进行，所需改造费用由承租人自行承担。租期届满或中途因承租人违约而解除合同时，承租人或承租人下线养殖户对池塘及其设施进行改造或添置而形成的不可移动资产无偿转归招租人所有（如承租人的下线养殖户对其投入的资产要求补偿的，也由承租人承担补偿费用，与招租人无关），招租人不予任何补偿。如因承租人或其下线养殖户以池塘或设施设备等费用补偿问题为由拒绝或拖延交还到期池塘的，承租人除须向招租人承担租赁合同约定的占用费外，还须向招租人支付惩罚性违约金人民币</w:t>
      </w:r>
      <w:r>
        <w:rPr>
          <w:rFonts w:ascii="仿宋" w:hAnsi="仿宋" w:eastAsia="仿宋"/>
          <w:color w:val="auto"/>
          <w:sz w:val="28"/>
          <w:szCs w:val="28"/>
          <w:highlight w:val="none"/>
        </w:rPr>
        <w:t>50</w:t>
      </w:r>
      <w:r>
        <w:rPr>
          <w:rFonts w:hint="eastAsia" w:ascii="仿宋" w:hAnsi="仿宋" w:eastAsia="仿宋"/>
          <w:color w:val="auto"/>
          <w:sz w:val="28"/>
          <w:szCs w:val="28"/>
          <w:highlight w:val="none"/>
        </w:rPr>
        <w:t>万元。</w:t>
      </w:r>
    </w:p>
    <w:p w14:paraId="7F0381AE">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二、由招租人委托的招租评审组就每一标段号池塘逐一进行招租评审，并就每个标段号的池塘以书面报告形式向招租人推荐1-2名中标候选人进行公布，由招租人确定中标人。</w:t>
      </w:r>
    </w:p>
    <w:p w14:paraId="28BBBEB9">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三、对于得分相同的多名竞租人视为同一层次竞租人，但该池塘的原承租人在同等条件下享有优先承租权。如果该同一层次的多名竞租人处于第一候选人的，则由评审组对该层次的所有竞租人进行比选（二次评审），比选主要从该层次的竞租人的技术能力、养殖经验、经济实力、履约诚信等方面进行优选。</w:t>
      </w:r>
    </w:p>
    <w:p w14:paraId="7B8573A4">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就某一标段号池塘，如果仅有一名竞租人参加竞租的且该竞租人及其报价符合评审条件的，则由该竞租人中标。</w:t>
      </w:r>
    </w:p>
    <w:p w14:paraId="65F39E41">
      <w:pPr>
        <w:spacing w:line="50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如某一池塘出现无人竞租、全部为无效标导致流标的，招租人可以重新招租，也可以直接议标确定承租人。</w:t>
      </w:r>
    </w:p>
    <w:p w14:paraId="6B883CED">
      <w:pPr>
        <w:numPr>
          <w:ilvl w:val="0"/>
          <w:numId w:val="1"/>
        </w:num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如果竞租人是上市公司（含占股超过50%的子公司）或国有企业（含占股超过50%的子公司）的，一名竞租人在本轮招租过程中最多承租</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个标段号池塘；如一名竞租人中标超过</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个标段号池塘的，由招租人自行选择其中的</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个标段号池塘签署租赁合同。</w:t>
      </w:r>
    </w:p>
    <w:p w14:paraId="16FA0302">
      <w:pPr>
        <w:numPr>
          <w:ilvl w:val="0"/>
          <w:numId w:val="0"/>
        </w:numPr>
        <w:spacing w:line="520" w:lineRule="exact"/>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如果竞租人是民营非上市公司的，一名竞租人在本轮招租过程中最多承租两个标段号池塘；如一名竞租人中标超过两个标段号池塘的，由招租人自行选择其中的两个标段号池塘签署租赁合同。</w:t>
      </w:r>
    </w:p>
    <w:p w14:paraId="36CED263">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如果竞租人是非法人组织或自然人的，一名竞租人在本轮招租过程中只能承租一个标号池塘；如一名竞租人中标多个标段号池塘的，由招租人自行选择其中的一个标段号池塘签署租赁合同。</w:t>
      </w:r>
    </w:p>
    <w:p w14:paraId="0E9A7C2F">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由招租人委托的招租评审组进行竞租评审工作，按照公示的规则进行评审，评审组将评审结果以书面形式报告给招租人。招租人依据评审组的中标候选人名单，选定中标人，并公示三天。公示期届满如无异议，通知中标人在规定时间内签订《中标确认书》和《池塘租赁合同》。</w:t>
      </w:r>
    </w:p>
    <w:p w14:paraId="6504276B">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中标人签署《中标确认书》后，竞租保证金自动转为履约保证金，预付租金自动转为合同租金；履约保证金和合同租金的不足部分由中标人7日内补足。</w:t>
      </w:r>
    </w:p>
    <w:p w14:paraId="2EA44308">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中标人签署《中标确认书》</w:t>
      </w:r>
      <w:r>
        <w:rPr>
          <w:rFonts w:hint="eastAsia" w:ascii="仿宋" w:hAnsi="仿宋" w:eastAsia="仿宋"/>
          <w:color w:val="auto"/>
          <w:sz w:val="28"/>
          <w:szCs w:val="28"/>
          <w:highlight w:val="none"/>
          <w:lang w:val="en-US" w:eastAsia="zh-CN"/>
        </w:rPr>
        <w:t>后</w:t>
      </w:r>
      <w:r>
        <w:rPr>
          <w:rFonts w:hint="eastAsia" w:ascii="仿宋" w:hAnsi="仿宋" w:eastAsia="仿宋"/>
          <w:color w:val="auto"/>
          <w:sz w:val="28"/>
          <w:szCs w:val="28"/>
          <w:highlight w:val="none"/>
        </w:rPr>
        <w:t>7日内，须与招租人签署已经公示的《池塘租赁合同》。如因中标人原因未能与招租人签订《中标确认书》、或因中标人原因逾期签署租赁合同的、或竞租人未能按时补足履约保证金和合同租金的，视为中标人放弃中标资格，招租人有权依顺序通知第二名中标候选人签署租赁合同，也可以重新招租。</w:t>
      </w:r>
    </w:p>
    <w:p w14:paraId="570F2428">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六、池塘租金采用“先付后用”原则。每年按照365日计算。</w:t>
      </w:r>
    </w:p>
    <w:p w14:paraId="4DFC494C">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七、特别提示：</w:t>
      </w:r>
    </w:p>
    <w:p w14:paraId="0C97C6FA">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（1）【禁止挂靠】竞租人不得存在借用他人名义</w:t>
      </w:r>
      <w:r>
        <w:rPr>
          <w:rFonts w:hint="eastAsia" w:ascii="仿宋" w:hAnsi="仿宋" w:eastAsia="仿宋"/>
          <w:color w:val="auto"/>
          <w:sz w:val="28"/>
          <w:szCs w:val="28"/>
          <w:highlight w:val="none"/>
          <w:lang w:val="en-US" w:eastAsia="zh-CN"/>
        </w:rPr>
        <w:t>或让他人以自己的名义</w:t>
      </w:r>
      <w:r>
        <w:rPr>
          <w:rFonts w:hint="eastAsia" w:ascii="仿宋" w:hAnsi="仿宋" w:eastAsia="仿宋"/>
          <w:color w:val="auto"/>
          <w:sz w:val="28"/>
          <w:szCs w:val="28"/>
          <w:highlight w:val="none"/>
        </w:rPr>
        <w:t>进行挂靠竞租情形，否则一经发现，取消其中标资格。</w:t>
      </w:r>
    </w:p>
    <w:p w14:paraId="62B9B3B4">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禁止转租】竞租人中标后，必须自行组织生产，未经招租人书面同意不得转租或分租，且不得以任何理由与此前曾积欠招租人租金的单位或个人、或曾占用招租人池塘或土地的单位或个人、或与招租人存在未决的争议纠纷的单位或个人进行任何形式的合作，否则一经发现，招租人有权解除合同，</w:t>
      </w:r>
      <w:r>
        <w:rPr>
          <w:rFonts w:hint="eastAsia" w:ascii="仿宋" w:hAnsi="仿宋" w:eastAsia="仿宋"/>
          <w:color w:val="auto"/>
          <w:sz w:val="28"/>
          <w:szCs w:val="28"/>
          <w:highlight w:val="none"/>
          <w:lang w:val="en-US" w:eastAsia="zh-CN"/>
        </w:rPr>
        <w:t>并且中标人</w:t>
      </w:r>
      <w:r>
        <w:rPr>
          <w:rFonts w:hint="eastAsia" w:ascii="仿宋" w:hAnsi="仿宋" w:eastAsia="仿宋"/>
          <w:color w:val="auto"/>
          <w:sz w:val="28"/>
          <w:szCs w:val="28"/>
          <w:highlight w:val="none"/>
        </w:rPr>
        <w:t>承担合同约定的违约责任。</w:t>
      </w:r>
    </w:p>
    <w:p w14:paraId="6E84C32C">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（3）【综合评审】按照竞租文件规定的“综合</w:t>
      </w:r>
      <w:r>
        <w:rPr>
          <w:rFonts w:hint="eastAsia" w:ascii="仿宋" w:hAnsi="仿宋" w:eastAsia="仿宋"/>
          <w:color w:val="auto"/>
          <w:sz w:val="28"/>
          <w:szCs w:val="28"/>
          <w:highlight w:val="none"/>
          <w:lang w:val="en-US" w:eastAsia="zh-CN"/>
        </w:rPr>
        <w:t>评分</w:t>
      </w:r>
      <w:r>
        <w:rPr>
          <w:rFonts w:hint="eastAsia" w:ascii="仿宋" w:hAnsi="仿宋" w:eastAsia="仿宋"/>
          <w:color w:val="auto"/>
          <w:sz w:val="28"/>
          <w:szCs w:val="28"/>
          <w:highlight w:val="none"/>
        </w:rPr>
        <w:t>法”进行评审，不仅需要评审竞租人的报价，还要评审竞租人的养殖实践、经验、信用以及担保等方面。</w:t>
      </w:r>
    </w:p>
    <w:p w14:paraId="46C36D9A">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4）【异议事项】本次招租公示期内，竞租人或其代理人就本次评审结果提出异议的，只能查阅该竞租人本人的得分等信息，招租人不提供其他竞租人的相关信息。竞租人之外的人员对本次评审结果提出异议的、或公示期届满后竞租人或其代理人提出异议的，招租人将不予受理。</w:t>
      </w:r>
    </w:p>
    <w:p w14:paraId="6FD3404E">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5）【弃标差价赔偿】本次招租中，如果排名在先的中标候选人放弃中标资格、招租人依次通知排名在后的中标候选人签署合同的，对于减少的中标价的差额，由弃标的中标候选人负责赔偿给招租人。如果中标候选人放弃中标结果、招租人决定重新组织招租的，对于招租人重新组织招租所支付的所有相关费用以及在重新招租中的中标价低于本次弃标人中标价的差额，由弃标的中标人负责赔偿给招租人。弃标人的赔偿金额概不受招租人最终实际收取的</w:t>
      </w:r>
      <w:r>
        <w:rPr>
          <w:rFonts w:hint="eastAsia" w:ascii="仿宋" w:hAnsi="仿宋" w:eastAsia="仿宋"/>
          <w:color w:val="auto"/>
          <w:sz w:val="28"/>
          <w:szCs w:val="28"/>
          <w:highlight w:val="none"/>
          <w:lang w:val="en-US" w:eastAsia="zh-CN"/>
        </w:rPr>
        <w:t>新中标人</w:t>
      </w:r>
      <w:r>
        <w:rPr>
          <w:rFonts w:hint="eastAsia" w:ascii="仿宋" w:hAnsi="仿宋" w:eastAsia="仿宋"/>
          <w:color w:val="auto"/>
          <w:sz w:val="28"/>
          <w:szCs w:val="28"/>
          <w:highlight w:val="none"/>
        </w:rPr>
        <w:t>租金金额的影响。</w:t>
      </w:r>
    </w:p>
    <w:p w14:paraId="1516352E">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中标候选人弃标的，招租人有权不再退还投标保证金。</w:t>
      </w:r>
    </w:p>
    <w:p w14:paraId="73E2EF65">
      <w:pPr>
        <w:spacing w:line="520" w:lineRule="exact"/>
        <w:ind w:firstLine="565" w:firstLineChars="202"/>
        <w:rPr>
          <w:rFonts w:hint="default" w:ascii="仿宋" w:hAnsi="仿宋" w:eastAsia="仿宋" w:cs="仿宋"/>
          <w:color w:val="auto"/>
          <w:sz w:val="28"/>
          <w:szCs w:val="28"/>
          <w:highlight w:val="none"/>
          <w:lang w:val="en-US" w:eastAsia="zh-CN"/>
        </w:rPr>
      </w:pPr>
      <w:r>
        <w:rPr>
          <w:rFonts w:hint="eastAsia" w:ascii="仿宋" w:hAnsi="仿宋" w:eastAsia="仿宋"/>
          <w:color w:val="auto"/>
          <w:sz w:val="28"/>
          <w:szCs w:val="28"/>
          <w:highlight w:val="none"/>
        </w:rPr>
        <w:t>（6）【不受欢迎的竞租人名单】如竞租人存在下列情形之一的，将被招租人列入“不受欢迎的竞租人名单”，在招租人组织的所有招标、竞租活动中，该竞租人的投标、竞租资料将不被接受、不予评审：①在灌东盐场或盐城市新滩盐场实业发展有限公司（以下简称“新滩盐场”）、滨海新昇水产养殖有限公司组织的池塘（含水库）或土地的竞租过程中，经评审组认定竞租人存在故意提供虚假材料参加竞租的；②竞租人到招租人或新滩盐场（含滨海新昇水产养殖有限公司）吵闹、谩骂、纠缠、威胁、贿赂招租人的工作人员或评审组成员的；③在招租人或新滩盐场（含滨海新昇水产养殖有限公司）组织的池塘（含水库）或土地的竞租过程中，竞租人本人或指使他人向招租人或相关上级单位投诉、举报、信访其他竞租人、盐场工作人员或评审组成员的，但经查实该投诉、举报、信访事项不成立的；④竞租人在与招租人或新滩盐场（含滨海新昇水产养殖有限公司）的诉讼、仲裁过程中被法律文书认定存在违约行为或侵权行为的；⑤竞租人实施的其他严重扰乱竞租秩序、养殖生产秩序的行为</w:t>
      </w:r>
      <w:r>
        <w:rPr>
          <w:rFonts w:hint="eastAsia" w:ascii="仿宋" w:hAnsi="仿宋" w:eastAsia="仿宋"/>
          <w:color w:val="auto"/>
          <w:sz w:val="28"/>
          <w:szCs w:val="28"/>
          <w:highlight w:val="none"/>
          <w:lang w:eastAsia="zh-CN"/>
        </w:rPr>
        <w:t>；</w:t>
      </w:r>
      <w:r>
        <w:rPr>
          <w:rFonts w:hint="eastAsia" w:ascii="仿宋" w:hAnsi="仿宋" w:eastAsia="仿宋" w:cs="仿宋"/>
          <w:color w:val="auto"/>
          <w:sz w:val="28"/>
          <w:szCs w:val="28"/>
          <w:highlight w:val="none"/>
        </w:rPr>
        <w:t>⑥</w:t>
      </w:r>
      <w:r>
        <w:rPr>
          <w:rFonts w:hint="eastAsia" w:ascii="仿宋" w:hAnsi="仿宋" w:eastAsia="仿宋"/>
          <w:color w:val="auto"/>
          <w:sz w:val="28"/>
          <w:szCs w:val="28"/>
          <w:highlight w:val="none"/>
        </w:rPr>
        <w:t>租期届满</w:t>
      </w:r>
      <w:r>
        <w:rPr>
          <w:rFonts w:hint="eastAsia" w:ascii="仿宋" w:hAnsi="仿宋" w:eastAsia="仿宋"/>
          <w:color w:val="auto"/>
          <w:sz w:val="28"/>
          <w:szCs w:val="28"/>
          <w:highlight w:val="none"/>
          <w:lang w:val="en-US" w:eastAsia="zh-CN"/>
        </w:rPr>
        <w:t>或池塘租赁合同解除后，竞租人</w:t>
      </w:r>
      <w:r>
        <w:rPr>
          <w:rFonts w:hint="eastAsia" w:ascii="仿宋" w:hAnsi="仿宋" w:eastAsia="仿宋"/>
          <w:color w:val="auto"/>
          <w:sz w:val="28"/>
          <w:szCs w:val="28"/>
          <w:highlight w:val="none"/>
        </w:rPr>
        <w:t>逾期交还租赁物的</w:t>
      </w:r>
      <w:r>
        <w:rPr>
          <w:rFonts w:hint="eastAsia" w:ascii="仿宋" w:hAnsi="仿宋" w:eastAsia="仿宋"/>
          <w:color w:val="auto"/>
          <w:sz w:val="28"/>
          <w:szCs w:val="28"/>
          <w:highlight w:val="none"/>
          <w:lang w:eastAsia="zh-CN"/>
        </w:rPr>
        <w:t>；</w:t>
      </w:r>
      <w:r>
        <w:rPr>
          <w:rFonts w:hint="eastAsia" w:ascii="仿宋" w:hAnsi="仿宋" w:eastAsia="仿宋" w:cs="仿宋"/>
          <w:color w:val="auto"/>
          <w:sz w:val="28"/>
          <w:szCs w:val="28"/>
          <w:highlight w:val="none"/>
        </w:rPr>
        <w:t>⑦</w:t>
      </w:r>
      <w:r>
        <w:rPr>
          <w:rFonts w:hint="eastAsia" w:ascii="仿宋" w:hAnsi="仿宋" w:eastAsia="仿宋" w:cs="仿宋"/>
          <w:color w:val="auto"/>
          <w:sz w:val="28"/>
          <w:szCs w:val="28"/>
          <w:highlight w:val="none"/>
          <w:lang w:val="en-US" w:eastAsia="zh-CN"/>
        </w:rPr>
        <w:t>竞租人有违反</w:t>
      </w:r>
      <w:r>
        <w:rPr>
          <w:rFonts w:hint="eastAsia" w:ascii="仿宋" w:hAnsi="仿宋" w:eastAsia="仿宋"/>
          <w:color w:val="auto"/>
          <w:sz w:val="28"/>
          <w:szCs w:val="28"/>
          <w:highlight w:val="none"/>
        </w:rPr>
        <w:t>《池塘租赁合同》</w:t>
      </w:r>
      <w:r>
        <w:rPr>
          <w:rFonts w:hint="eastAsia" w:ascii="仿宋" w:hAnsi="仿宋" w:eastAsia="仿宋"/>
          <w:color w:val="auto"/>
          <w:sz w:val="28"/>
          <w:szCs w:val="28"/>
          <w:highlight w:val="none"/>
          <w:lang w:val="en-US" w:eastAsia="zh-CN"/>
        </w:rPr>
        <w:t>及</w:t>
      </w:r>
      <w:r>
        <w:rPr>
          <w:rFonts w:hint="eastAsia" w:ascii="仿宋" w:hAnsi="仿宋" w:eastAsia="仿宋"/>
          <w:color w:val="auto"/>
          <w:sz w:val="28"/>
          <w:szCs w:val="28"/>
          <w:highlight w:val="none"/>
        </w:rPr>
        <w:t>《养殖生产安全工作责任书》、《水产养殖安全环保承诺书》、《海淡水养殖管理规定》、《水产品质量安全承诺书》等合同附件</w:t>
      </w:r>
      <w:r>
        <w:rPr>
          <w:rFonts w:hint="eastAsia" w:ascii="仿宋" w:hAnsi="仿宋" w:eastAsia="仿宋"/>
          <w:color w:val="auto"/>
          <w:sz w:val="28"/>
          <w:szCs w:val="28"/>
          <w:highlight w:val="none"/>
          <w:lang w:val="en-US" w:eastAsia="zh-CN"/>
        </w:rPr>
        <w:t>情形的。</w:t>
      </w:r>
    </w:p>
    <w:p w14:paraId="3871104B">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7）【合作限制】中标人必须自行组织生产，未经招租人书面同意不得转租或分租，且不得以任何理由与此前曾积欠招租人租金的单位或个人、或曾占用招租人养殖池塘或土地的单位或个人、或与招租人存在未决的争议纠纷的单位或个人进行包括转租、分租、合伙经营、委托管理、聘用等形式的合作，否则一经发现，招租人有权解除合同，中标人须承担合同约定的违约责任。</w:t>
      </w:r>
    </w:p>
    <w:p w14:paraId="4E3B90DC">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中标人不得与被招租人列入“不受欢迎的竞租人名单”中的单位或人员进行包括转租、分租、合伙经营、委托管理、聘用等形式的合作，否则一经发现，招租人有权解除租赁合同，中标人须承担合同约定的违约责任。</w:t>
      </w:r>
    </w:p>
    <w:p w14:paraId="51CA0E9E">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八、中标人在签署《池塘租赁合同》时，须签署附件《养殖生产安全工作责任书》、《水产养殖安全环保承诺书》、《海淡水养殖管理规定》、《水产品质量安全承诺书》和《养殖池塘租赁交接单》等合同附件。</w:t>
      </w:r>
    </w:p>
    <w:p w14:paraId="210EABEA">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九、中标无效的情形</w:t>
      </w:r>
    </w:p>
    <w:p w14:paraId="2FC60C16">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1.在中标结果公示期内，发现中标人不符合竞租人资格条件的；</w:t>
      </w:r>
    </w:p>
    <w:p w14:paraId="32126613">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2.中标人与未中标的投标人之间存在恶意串通以压低竞租报价的；</w:t>
      </w:r>
    </w:p>
    <w:p w14:paraId="410101B5">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3.中标人和招租人工作人员恶意串通以谋求中标的；</w:t>
      </w:r>
    </w:p>
    <w:p w14:paraId="402F76BC">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4.中标人存在伪造虚假的竞租材料的。</w:t>
      </w:r>
    </w:p>
    <w:p w14:paraId="0EDF6B75">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竞租人可能存在的其他情形不作为认定中标无效的依据。认定中标无效的权利由招租人享有和行使。</w:t>
      </w:r>
    </w:p>
    <w:p w14:paraId="7C74025C">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十、本招租文件中所称的“招租人”专指盐城市灌东盐场发展有限公司；“发包人”“出租人”是指我国区域范围内的、包括招租人在内的池塘/匡围/水库</w:t>
      </w:r>
      <w:r>
        <w:rPr>
          <w:rFonts w:hint="eastAsia" w:ascii="仿宋" w:hAnsi="仿宋" w:eastAsia="仿宋"/>
          <w:color w:val="auto"/>
          <w:sz w:val="28"/>
          <w:szCs w:val="28"/>
          <w:highlight w:val="none"/>
          <w:lang w:val="en-US" w:eastAsia="zh-CN"/>
        </w:rPr>
        <w:t>等</w:t>
      </w:r>
      <w:r>
        <w:rPr>
          <w:rFonts w:hint="eastAsia" w:ascii="仿宋" w:hAnsi="仿宋" w:eastAsia="仿宋"/>
          <w:color w:val="auto"/>
          <w:sz w:val="28"/>
          <w:szCs w:val="28"/>
          <w:highlight w:val="none"/>
        </w:rPr>
        <w:t>的发包人或出租人。</w:t>
      </w:r>
    </w:p>
    <w:p w14:paraId="7F3F5A65">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十一、其他招租</w:t>
      </w:r>
      <w:r>
        <w:rPr>
          <w:rFonts w:ascii="仿宋" w:hAnsi="仿宋" w:eastAsia="仿宋"/>
          <w:color w:val="auto"/>
          <w:sz w:val="28"/>
          <w:szCs w:val="28"/>
          <w:highlight w:val="none"/>
        </w:rPr>
        <w:t>事项</w:t>
      </w:r>
      <w:r>
        <w:rPr>
          <w:rFonts w:hint="eastAsia" w:ascii="仿宋" w:hAnsi="仿宋" w:eastAsia="仿宋"/>
          <w:color w:val="auto"/>
          <w:sz w:val="28"/>
          <w:szCs w:val="28"/>
          <w:highlight w:val="none"/>
        </w:rPr>
        <w:t>，详见《盐城市灌东盐场发展有限公司</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池塘公开招租公告</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第二次</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w:t>
      </w:r>
    </w:p>
    <w:p w14:paraId="789189B6">
      <w:pPr>
        <w:spacing w:line="520" w:lineRule="exact"/>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十二、特别说明：本期招租池塘中有部分池塘存在光伏设施设备，该光伏池塘中标人不得以光伏设施设备影响养殖为由，向光伏设施设备产权人或招租人主张损失赔偿或补偿，也不得阻止光伏设备产权人的日常维护维修工作。</w:t>
      </w:r>
    </w:p>
    <w:p w14:paraId="6EB2696C">
      <w:pPr>
        <w:spacing w:line="520" w:lineRule="exact"/>
        <w:ind w:firstLine="565" w:firstLineChars="202"/>
        <w:rPr>
          <w:rFonts w:ascii="仿宋" w:hAnsi="仿宋" w:eastAsia="仿宋"/>
          <w:color w:val="auto"/>
          <w:sz w:val="28"/>
          <w:szCs w:val="28"/>
          <w:highlight w:val="none"/>
        </w:rPr>
      </w:pPr>
    </w:p>
    <w:p w14:paraId="68A548A6">
      <w:pPr>
        <w:spacing w:line="520" w:lineRule="exact"/>
        <w:ind w:firstLine="565" w:firstLineChars="202"/>
        <w:rPr>
          <w:rFonts w:ascii="仿宋" w:hAnsi="仿宋" w:eastAsia="仿宋"/>
          <w:color w:val="auto"/>
          <w:sz w:val="28"/>
          <w:szCs w:val="28"/>
          <w:highlight w:val="none"/>
        </w:rPr>
      </w:pPr>
    </w:p>
    <w:p w14:paraId="4BF38F64">
      <w:pPr>
        <w:spacing w:line="720" w:lineRule="auto"/>
        <w:jc w:val="center"/>
        <w:rPr>
          <w:rFonts w:ascii="宋体" w:hAnsi="宋体"/>
          <w:b/>
          <w:color w:val="auto"/>
          <w:sz w:val="28"/>
          <w:szCs w:val="28"/>
          <w:highlight w:val="none"/>
        </w:rPr>
      </w:pPr>
      <w:r>
        <w:rPr>
          <w:rFonts w:hint="eastAsia" w:ascii="宋体" w:hAnsi="宋体"/>
          <w:b/>
          <w:color w:val="auto"/>
          <w:sz w:val="28"/>
          <w:szCs w:val="28"/>
          <w:highlight w:val="none"/>
        </w:rPr>
        <w:t>第三部分 竞租评审规则和合同授予</w:t>
      </w:r>
    </w:p>
    <w:p w14:paraId="14CE50FA">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一、由招租人委托评审人员组建“招租评审组”，按照经公示的评审规则进行评审积分工作。招租评审组现场推选一名负责人，主持评审组工作。</w:t>
      </w:r>
    </w:p>
    <w:p w14:paraId="16720EB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二、本次招租对竞租人实行资格后审，采用“综合评估法”的评审方法。具体评审因素和分值匹配如下：</w:t>
      </w:r>
    </w:p>
    <w:p w14:paraId="2F57DEBE">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（一）总分及评审原则</w:t>
      </w:r>
    </w:p>
    <w:p w14:paraId="2B713E3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w:t>
      </w:r>
      <w:r>
        <w:rPr>
          <w:rFonts w:ascii="仿宋" w:hAnsi="仿宋" w:eastAsia="仿宋"/>
          <w:color w:val="auto"/>
          <w:sz w:val="28"/>
          <w:szCs w:val="28"/>
          <w:highlight w:val="none"/>
        </w:rPr>
        <w:t>本项目评分总分值为100分。</w:t>
      </w:r>
    </w:p>
    <w:p w14:paraId="09BB2A3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2、对有效竞租报价的竞租材料进行评审：</w:t>
      </w:r>
    </w:p>
    <w:p w14:paraId="328307B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①竞租人条件符合招租方案的要求；</w:t>
      </w:r>
    </w:p>
    <w:p w14:paraId="3C17756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②竞租人的竞租报价不低于招租人的招租底价；</w:t>
      </w:r>
    </w:p>
    <w:p w14:paraId="481ECF9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③竞租人已经足额缴纳《招租池塘情况一览表》中列明的意向竞租池塘的竞租保证金及预付租金。</w:t>
      </w:r>
    </w:p>
    <w:p w14:paraId="643AAF1D">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（二）评审因素和计分标准</w:t>
      </w:r>
    </w:p>
    <w:p w14:paraId="2FFF751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1、报价分(本项得分最高</w:t>
      </w:r>
      <w:r>
        <w:rPr>
          <w:rFonts w:hint="eastAsia" w:ascii="仿宋" w:hAnsi="仿宋" w:eastAsia="仿宋"/>
          <w:color w:val="auto"/>
          <w:sz w:val="28"/>
          <w:szCs w:val="28"/>
          <w:highlight w:val="none"/>
          <w:lang w:val="en-US" w:eastAsia="zh-CN"/>
        </w:rPr>
        <w:t>80</w:t>
      </w:r>
      <w:r>
        <w:rPr>
          <w:rFonts w:hint="eastAsia" w:ascii="仿宋" w:hAnsi="仿宋" w:eastAsia="仿宋"/>
          <w:color w:val="auto"/>
          <w:sz w:val="28"/>
          <w:szCs w:val="28"/>
          <w:highlight w:val="none"/>
        </w:rPr>
        <w:t>分)</w:t>
      </w:r>
    </w:p>
    <w:p w14:paraId="3DA8563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评标基准价的确定：以有效竞租人的竞租报价算术平均值为评标基准价（若</w:t>
      </w:r>
      <w:r>
        <w:rPr>
          <w:rFonts w:ascii="仿宋" w:hAnsi="仿宋" w:eastAsia="仿宋"/>
          <w:color w:val="auto"/>
          <w:sz w:val="28"/>
          <w:szCs w:val="28"/>
          <w:highlight w:val="none"/>
        </w:rPr>
        <w:t>7</w:t>
      </w:r>
      <w:r>
        <w:rPr>
          <w:rFonts w:hint="eastAsia" w:ascii="仿宋" w:hAnsi="仿宋" w:eastAsia="仿宋"/>
          <w:color w:val="auto"/>
          <w:sz w:val="28"/>
          <w:szCs w:val="28"/>
          <w:highlight w:val="none"/>
        </w:rPr>
        <w:t>≤有效竞租报价</w:t>
      </w:r>
      <w:r>
        <w:rPr>
          <w:rFonts w:ascii="仿宋" w:hAnsi="仿宋" w:eastAsia="仿宋"/>
          <w:color w:val="auto"/>
          <w:sz w:val="28"/>
          <w:szCs w:val="28"/>
          <w:highlight w:val="none"/>
        </w:rPr>
        <w:t xml:space="preserve">&lt;10 </w:t>
      </w:r>
      <w:r>
        <w:rPr>
          <w:rFonts w:hint="eastAsia" w:ascii="仿宋" w:hAnsi="仿宋" w:eastAsia="仿宋"/>
          <w:color w:val="auto"/>
          <w:sz w:val="28"/>
          <w:szCs w:val="28"/>
          <w:highlight w:val="none"/>
        </w:rPr>
        <w:t>家时，去掉其中的一个最高价和一个最低价后取算术平均值；若有效竞租文件≥</w:t>
      </w:r>
      <w:r>
        <w:rPr>
          <w:rFonts w:ascii="仿宋" w:hAnsi="仿宋" w:eastAsia="仿宋"/>
          <w:color w:val="auto"/>
          <w:sz w:val="28"/>
          <w:szCs w:val="28"/>
          <w:highlight w:val="none"/>
        </w:rPr>
        <w:t xml:space="preserve">10 </w:t>
      </w:r>
      <w:r>
        <w:rPr>
          <w:rFonts w:hint="eastAsia" w:ascii="仿宋" w:hAnsi="仿宋" w:eastAsia="仿宋"/>
          <w:color w:val="auto"/>
          <w:sz w:val="28"/>
          <w:szCs w:val="28"/>
          <w:highlight w:val="none"/>
        </w:rPr>
        <w:t>家时，去掉其中的两个最高价和两个最低价后取算术平均值）。</w:t>
      </w:r>
    </w:p>
    <w:p w14:paraId="3B75CF9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①有效竞租人的竞租报价与评标基准价相等的，得基本分</w:t>
      </w:r>
      <w:r>
        <w:rPr>
          <w:rFonts w:hint="eastAsia" w:ascii="仿宋" w:hAnsi="仿宋" w:eastAsia="仿宋"/>
          <w:color w:val="auto"/>
          <w:sz w:val="28"/>
          <w:szCs w:val="28"/>
          <w:highlight w:val="none"/>
          <w:lang w:val="en-US" w:eastAsia="zh-CN"/>
        </w:rPr>
        <w:t>75</w:t>
      </w:r>
      <w:r>
        <w:rPr>
          <w:rFonts w:hint="eastAsia" w:ascii="仿宋" w:hAnsi="仿宋" w:eastAsia="仿宋"/>
          <w:color w:val="auto"/>
          <w:sz w:val="28"/>
          <w:szCs w:val="28"/>
          <w:highlight w:val="none"/>
        </w:rPr>
        <w:t>分。</w:t>
      </w:r>
      <w:r>
        <w:rPr>
          <w:rFonts w:ascii="仿宋" w:hAnsi="仿宋" w:eastAsia="仿宋"/>
          <w:color w:val="auto"/>
          <w:sz w:val="28"/>
          <w:szCs w:val="28"/>
          <w:highlight w:val="none"/>
        </w:rPr>
        <w:t xml:space="preserve"> </w:t>
      </w:r>
    </w:p>
    <w:p w14:paraId="78F3A6D8">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②有效竞租人的竞租报价高于评标基准价的，每高</w:t>
      </w:r>
      <w:r>
        <w:rPr>
          <w:rFonts w:ascii="仿宋" w:hAnsi="仿宋" w:eastAsia="仿宋"/>
          <w:color w:val="auto"/>
          <w:sz w:val="28"/>
          <w:szCs w:val="28"/>
          <w:highlight w:val="none"/>
        </w:rPr>
        <w:t>1%</w:t>
      </w:r>
      <w:r>
        <w:rPr>
          <w:rFonts w:hint="eastAsia" w:ascii="仿宋" w:hAnsi="仿宋" w:eastAsia="仿宋"/>
          <w:color w:val="auto"/>
          <w:sz w:val="28"/>
          <w:szCs w:val="28"/>
          <w:highlight w:val="none"/>
        </w:rPr>
        <w:t>，加0.1分，不足</w:t>
      </w:r>
      <w:r>
        <w:rPr>
          <w:rFonts w:ascii="仿宋" w:hAnsi="仿宋" w:eastAsia="仿宋"/>
          <w:color w:val="auto"/>
          <w:sz w:val="28"/>
          <w:szCs w:val="28"/>
          <w:highlight w:val="none"/>
        </w:rPr>
        <w:t>1%</w:t>
      </w:r>
      <w:r>
        <w:rPr>
          <w:rFonts w:hint="eastAsia" w:ascii="仿宋" w:hAnsi="仿宋" w:eastAsia="仿宋"/>
          <w:color w:val="auto"/>
          <w:sz w:val="28"/>
          <w:szCs w:val="28"/>
          <w:highlight w:val="none"/>
        </w:rPr>
        <w:t xml:space="preserve">，按插入法计算。 </w:t>
      </w:r>
    </w:p>
    <w:p w14:paraId="4ACE43E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③有效竞租人的竞租报价低于评标基准价的，每低</w:t>
      </w:r>
      <w:r>
        <w:rPr>
          <w:rFonts w:ascii="仿宋" w:hAnsi="仿宋" w:eastAsia="仿宋"/>
          <w:color w:val="auto"/>
          <w:sz w:val="28"/>
          <w:szCs w:val="28"/>
          <w:highlight w:val="none"/>
        </w:rPr>
        <w:t>1%</w:t>
      </w:r>
      <w:r>
        <w:rPr>
          <w:rFonts w:hint="eastAsia" w:ascii="仿宋" w:hAnsi="仿宋" w:eastAsia="仿宋"/>
          <w:color w:val="auto"/>
          <w:sz w:val="28"/>
          <w:szCs w:val="28"/>
          <w:highlight w:val="none"/>
        </w:rPr>
        <w:t>，扣0.1分，不足</w:t>
      </w:r>
      <w:r>
        <w:rPr>
          <w:rFonts w:ascii="仿宋" w:hAnsi="仿宋" w:eastAsia="仿宋"/>
          <w:color w:val="auto"/>
          <w:sz w:val="28"/>
          <w:szCs w:val="28"/>
          <w:highlight w:val="none"/>
        </w:rPr>
        <w:t>1%</w:t>
      </w:r>
      <w:r>
        <w:rPr>
          <w:rFonts w:hint="eastAsia" w:ascii="仿宋" w:hAnsi="仿宋" w:eastAsia="仿宋"/>
          <w:color w:val="auto"/>
          <w:sz w:val="28"/>
          <w:szCs w:val="28"/>
          <w:highlight w:val="none"/>
        </w:rPr>
        <w:t>，按插入法计算。竞租报价低于竞租底价时，作无效报价处理。</w:t>
      </w:r>
    </w:p>
    <w:p w14:paraId="339B2CF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说明：上述的评标基准价不因评标后竞租人的质疑、投诉、复议以及其它任何情形而改变（计算错误除外）。</w:t>
      </w:r>
    </w:p>
    <w:p w14:paraId="3AC01063">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2、业绩分（本项最高得分1</w:t>
      </w:r>
      <w:r>
        <w:rPr>
          <w:rFonts w:hint="eastAsia" w:ascii="仿宋" w:hAnsi="仿宋" w:eastAsia="仿宋"/>
          <w:color w:val="auto"/>
          <w:sz w:val="28"/>
          <w:szCs w:val="28"/>
          <w:highlight w:val="none"/>
          <w:lang w:val="en-US" w:eastAsia="zh-CN"/>
        </w:rPr>
        <w:t>0</w:t>
      </w:r>
      <w:r>
        <w:rPr>
          <w:rFonts w:hint="eastAsia" w:ascii="仿宋" w:hAnsi="仿宋" w:eastAsia="仿宋"/>
          <w:color w:val="auto"/>
          <w:sz w:val="28"/>
          <w:szCs w:val="28"/>
          <w:highlight w:val="none"/>
        </w:rPr>
        <w:t>分）</w:t>
      </w:r>
    </w:p>
    <w:p w14:paraId="60236AC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①养殖实践（本分项最高得分</w:t>
      </w:r>
      <w:r>
        <w:rPr>
          <w:rFonts w:hint="eastAsia" w:ascii="仿宋" w:hAnsi="仿宋" w:eastAsia="仿宋"/>
          <w:color w:val="auto"/>
          <w:sz w:val="28"/>
          <w:szCs w:val="28"/>
          <w:highlight w:val="none"/>
          <w:lang w:val="en-US" w:eastAsia="zh-CN"/>
        </w:rPr>
        <w:t>5</w:t>
      </w:r>
      <w:r>
        <w:rPr>
          <w:rFonts w:hint="eastAsia" w:ascii="仿宋" w:hAnsi="仿宋" w:eastAsia="仿宋"/>
          <w:color w:val="auto"/>
          <w:sz w:val="28"/>
          <w:szCs w:val="28"/>
          <w:highlight w:val="none"/>
        </w:rPr>
        <w:t>分）</w:t>
      </w:r>
    </w:p>
    <w:p w14:paraId="097F940E">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在最近五年内（自20</w:t>
      </w:r>
      <w:r>
        <w:rPr>
          <w:rFonts w:hint="eastAsia" w:ascii="仿宋" w:hAnsi="仿宋" w:eastAsia="仿宋"/>
          <w:color w:val="auto"/>
          <w:sz w:val="28"/>
          <w:szCs w:val="28"/>
          <w:highlight w:val="none"/>
          <w:lang w:val="en-US" w:eastAsia="zh-CN"/>
        </w:rPr>
        <w:t>21</w:t>
      </w:r>
      <w:r>
        <w:rPr>
          <w:rFonts w:hint="eastAsia" w:ascii="仿宋" w:hAnsi="仿宋" w:eastAsia="仿宋"/>
          <w:color w:val="auto"/>
          <w:sz w:val="28"/>
          <w:szCs w:val="28"/>
          <w:highlight w:val="none"/>
        </w:rPr>
        <w:t>年1月1日起至202</w:t>
      </w:r>
      <w:r>
        <w:rPr>
          <w:rFonts w:hint="eastAsia" w:ascii="仿宋" w:hAnsi="仿宋" w:eastAsia="仿宋"/>
          <w:color w:val="auto"/>
          <w:sz w:val="28"/>
          <w:szCs w:val="28"/>
          <w:highlight w:val="none"/>
          <w:lang w:val="en-US" w:eastAsia="zh-CN"/>
        </w:rPr>
        <w:t>5</w:t>
      </w:r>
      <w:r>
        <w:rPr>
          <w:rFonts w:hint="eastAsia" w:ascii="仿宋" w:hAnsi="仿宋" w:eastAsia="仿宋"/>
          <w:color w:val="auto"/>
          <w:sz w:val="28"/>
          <w:szCs w:val="28"/>
          <w:highlight w:val="none"/>
        </w:rPr>
        <w:t>年12月31日止），投标人具有池塘养殖的业绩的，每满一年加</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分（一年按照365日计算），最高加</w:t>
      </w:r>
      <w:r>
        <w:rPr>
          <w:rFonts w:hint="eastAsia" w:ascii="仿宋" w:hAnsi="仿宋" w:eastAsia="仿宋"/>
          <w:color w:val="auto"/>
          <w:sz w:val="28"/>
          <w:szCs w:val="28"/>
          <w:highlight w:val="none"/>
          <w:lang w:val="en-US" w:eastAsia="zh-CN"/>
        </w:rPr>
        <w:t>5</w:t>
      </w:r>
      <w:r>
        <w:rPr>
          <w:rFonts w:hint="eastAsia" w:ascii="仿宋" w:hAnsi="仿宋" w:eastAsia="仿宋"/>
          <w:color w:val="auto"/>
          <w:sz w:val="28"/>
          <w:szCs w:val="28"/>
          <w:highlight w:val="none"/>
        </w:rPr>
        <w:t>分（以投标人提供的真实有效合同及其购买饲料、养殖品幼苗、出售养殖产品的凭证等为准；招租人将视情况就上述合同及凭证的真实性与原发包人/出租人进行实地核实。如果竞租人系招租人或新滩盐场、新昇水产公司的承租人的，只需提供池塘租赁合同的复印件即可，由招租人统一审核。按照2019年以来的惯例，竞租人为新注册的公司的，其法定代表人此前的养殖业绩计入公司业绩）。</w:t>
      </w:r>
    </w:p>
    <w:p w14:paraId="6A4252B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②养殖方案（本分项最高得分5分）</w:t>
      </w:r>
    </w:p>
    <w:p w14:paraId="2B4C534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竞租人须提交书面的养殖方案（限1000字以内，方案内容由竞租人自行编写）。评委根据养殖方案的整体思路、技术措施、水产品质量保证、环境保护、安全生产等方面内容是否清晰、客观、真实进行综合评分。</w:t>
      </w:r>
    </w:p>
    <w:p w14:paraId="47F6C26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3、信誉分（本项最高得分10分）</w:t>
      </w:r>
    </w:p>
    <w:p w14:paraId="28F94B3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①竞租人在其提供“养殖实践”栏的租赁合同/承包合同期限内无积欠包括招租人在内的发包人/出租人的承包费（租金、池塘占用费）、无在合同期限届满后仍然占用发包人/出租人池塘（或擅自占有池塘、土地的）等违约或侵权行为且未处理完毕的，</w:t>
      </w:r>
      <w:r>
        <w:rPr>
          <w:rFonts w:hint="eastAsia" w:ascii="仿宋" w:hAnsi="仿宋" w:eastAsia="仿宋"/>
          <w:color w:val="auto"/>
          <w:sz w:val="28"/>
          <w:szCs w:val="28"/>
          <w:highlight w:val="none"/>
          <w:lang w:val="en-US" w:eastAsia="zh-CN"/>
        </w:rPr>
        <w:t>无违反安全、环保等法律法规的行为、无违反水产品质量安全的行为，</w:t>
      </w:r>
      <w:r>
        <w:rPr>
          <w:rFonts w:hint="eastAsia" w:ascii="仿宋" w:hAnsi="仿宋" w:eastAsia="仿宋"/>
          <w:color w:val="auto"/>
          <w:sz w:val="28"/>
          <w:szCs w:val="28"/>
          <w:highlight w:val="none"/>
        </w:rPr>
        <w:t>得8分（按照发包人/出租人出具的书面证明材料原件进行评审。如果竞租人系招租人</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新滩盐场或新昇水产公司</w:t>
      </w:r>
      <w:r>
        <w:rPr>
          <w:rFonts w:hint="eastAsia" w:ascii="仿宋" w:hAnsi="仿宋" w:eastAsia="仿宋"/>
          <w:color w:val="auto"/>
          <w:sz w:val="28"/>
          <w:szCs w:val="28"/>
          <w:highlight w:val="none"/>
        </w:rPr>
        <w:t>原承租人的，需提供</w:t>
      </w:r>
      <w:r>
        <w:rPr>
          <w:rFonts w:hint="eastAsia" w:ascii="仿宋" w:hAnsi="仿宋" w:eastAsia="仿宋"/>
          <w:color w:val="auto"/>
          <w:sz w:val="28"/>
          <w:szCs w:val="28"/>
          <w:highlight w:val="none"/>
          <w:lang w:val="en-US" w:eastAsia="zh-CN"/>
        </w:rPr>
        <w:t>招租人</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新滩盐场或新昇水产公司财务审计部和水产养殖公司出具的</w:t>
      </w:r>
      <w:r>
        <w:rPr>
          <w:rFonts w:hint="eastAsia" w:ascii="仿宋" w:hAnsi="仿宋" w:eastAsia="仿宋"/>
          <w:color w:val="auto"/>
          <w:sz w:val="28"/>
          <w:szCs w:val="28"/>
          <w:highlight w:val="none"/>
        </w:rPr>
        <w:t>上述书面材料，由招租人统一审查。按照2019年以来的惯例，竞租人为新注册的公司的，其法定代表人此前的信誉记录纳入公司信誉记录）。</w:t>
      </w:r>
    </w:p>
    <w:p w14:paraId="09056D13">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②竞租人能够邀请国有企业、上市公司或公务员作为其《池塘租赁合同》各项义务的担保人、且该担保人出具书面《池塘租赁合同担保书》的，得2分。公务员提供担保的，须提供该公务员的身份证复印件、银行个人征信原件、在职证明原件（或工作证件的照片）和担保人的本人手机电话号码。（详见附件《池塘租赁合同担保书》</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担保人手机在评标期间应保持畅通。</w:t>
      </w:r>
      <w:r>
        <w:rPr>
          <w:rFonts w:hint="eastAsia" w:ascii="仿宋" w:hAnsi="仿宋" w:eastAsia="仿宋"/>
          <w:color w:val="auto"/>
          <w:sz w:val="28"/>
          <w:szCs w:val="28"/>
          <w:highlight w:val="none"/>
        </w:rPr>
        <w:t xml:space="preserve">） </w:t>
      </w:r>
    </w:p>
    <w:p w14:paraId="5EC110B5">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三、评审注意事项</w:t>
      </w:r>
    </w:p>
    <w:p w14:paraId="75F69798">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1、评审组成员（评委）为5人或7人，评审组成员到达评标现场时应在《签到表》上签到以证明其出席。</w:t>
      </w:r>
    </w:p>
    <w:p w14:paraId="4B4DE6F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2、评审组成员推选一名评标组负责人，主持招租评审组工作，负责评标活动的组织和协调工作。</w:t>
      </w:r>
    </w:p>
    <w:p w14:paraId="07960C2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3、评审组负责人应组织评标组成员认真研究招租方案。未在招租方案中规定的评审因素、标准或方法，不得作为评审的依据。</w:t>
      </w:r>
    </w:p>
    <w:p w14:paraId="133CAD69">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4、评委应记名打分，打分未记名的或未按招租方案规定的评标办法打分的，一律按无效票处理。 </w:t>
      </w:r>
    </w:p>
    <w:p w14:paraId="60734C5C">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评委打分时，以</w:t>
      </w:r>
      <w:r>
        <w:rPr>
          <w:rFonts w:ascii="仿宋" w:hAnsi="仿宋" w:eastAsia="仿宋"/>
          <w:color w:val="auto"/>
          <w:sz w:val="28"/>
          <w:szCs w:val="28"/>
          <w:highlight w:val="none"/>
        </w:rPr>
        <w:t>0.</w:t>
      </w:r>
      <w:r>
        <w:rPr>
          <w:rFonts w:hint="eastAsia" w:ascii="仿宋" w:hAnsi="仿宋" w:eastAsia="仿宋"/>
          <w:color w:val="auto"/>
          <w:sz w:val="28"/>
          <w:szCs w:val="28"/>
          <w:highlight w:val="none"/>
        </w:rPr>
        <w:t>0</w:t>
      </w:r>
      <w:r>
        <w:rPr>
          <w:rFonts w:ascii="仿宋" w:hAnsi="仿宋" w:eastAsia="仿宋"/>
          <w:color w:val="auto"/>
          <w:sz w:val="28"/>
          <w:szCs w:val="28"/>
          <w:highlight w:val="none"/>
        </w:rPr>
        <w:t>1</w:t>
      </w:r>
      <w:r>
        <w:rPr>
          <w:rFonts w:hint="eastAsia" w:ascii="仿宋" w:hAnsi="仿宋" w:eastAsia="仿宋"/>
          <w:color w:val="auto"/>
          <w:sz w:val="28"/>
          <w:szCs w:val="28"/>
          <w:highlight w:val="none"/>
        </w:rPr>
        <w:t>分为一个计分单位。各项汇总时，每大项记分保留一位小数（第二位四舍五入）；总得分汇总时保留一位小数（第二位四舍五入）。</w:t>
      </w:r>
    </w:p>
    <w:p w14:paraId="00D95595">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评审过程中，除招租方案另有规定外，如发现竞租文件无相关资料、数据的，经评审组认定，可确定其该项不得分。</w:t>
      </w:r>
    </w:p>
    <w:p w14:paraId="2BB84240">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5、如排名第一的中标候选人自行放弃中标、因不可抗力不能履行合同、不按照招租方案要求缴纳履约保证金和租金、或者被查实存在影响中标结果的违法行为等情形，不符合中标条件的，招租人可以按照评审组提交的中标候选人名单排序依次确定其他中标候选人为中标人，也可以重新招租。</w:t>
      </w:r>
    </w:p>
    <w:p w14:paraId="1A73346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6、在招租过程中发生行贿受贿、请客送礼、扰乱招租活动秩序、提供虚假资料参加竞租及其他严重违法违纪行为的，一律取消有关竞租人参与竞租活动的资格；影响评审结果的，应宣布评审结果无效。</w:t>
      </w:r>
    </w:p>
    <w:p w14:paraId="1C28B7E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7、评审组在评审中意见不统一并可能影响结果的，请评委各自填写书面意见，并以少数服从多数形成结论。</w:t>
      </w:r>
    </w:p>
    <w:p w14:paraId="5695AEE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四、定标相关事项</w:t>
      </w:r>
    </w:p>
    <w:p w14:paraId="7A2254BD">
      <w:pPr>
        <w:spacing w:line="50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由招租人组织的招租评审组就每一标的池塘逐一进行招租，对竞租人在其竞租文件中确认的意向竞租池塘进行报价。招租人选择评审得分较高的1—2名中标候选人进行公示，由得分最高者中标。原承租人享有在同等条件下的优先承租权。</w:t>
      </w:r>
    </w:p>
    <w:p w14:paraId="35086E5A">
      <w:pPr>
        <w:spacing w:line="50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对于得分相同的多名竞租人视为同一层次竞租人，原承租人在同等条件下享有优先承租权。如果该同一层次的多名竞租人处于第一候选人的，则由评审组按照该层次的所有竞租人进行比选（二次评审），比选的依据主要从该层次所有竞租人的技术能力、养殖经验、经济实力、履约诚信等。</w:t>
      </w:r>
    </w:p>
    <w:p w14:paraId="70465580">
      <w:pPr>
        <w:spacing w:line="50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3、就某一标段号池塘，如果仅有一名竞租人参加竞租的且该竞租人及其报价符合评审条件的，则由该竞租人中标。</w:t>
      </w:r>
    </w:p>
    <w:p w14:paraId="3F44CF62">
      <w:pPr>
        <w:spacing w:line="50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4、如某一池塘出现无人竞租、全部为无效标</w:t>
      </w:r>
      <w:r>
        <w:rPr>
          <w:rFonts w:hint="eastAsia" w:ascii="仿宋" w:hAnsi="仿宋" w:eastAsia="仿宋"/>
          <w:color w:val="auto"/>
          <w:sz w:val="28"/>
          <w:szCs w:val="28"/>
          <w:highlight w:val="none"/>
          <w:lang w:val="en-US" w:eastAsia="zh-CN"/>
        </w:rPr>
        <w:t>而</w:t>
      </w:r>
      <w:r>
        <w:rPr>
          <w:rFonts w:hint="eastAsia" w:ascii="仿宋" w:hAnsi="仿宋" w:eastAsia="仿宋"/>
          <w:color w:val="auto"/>
          <w:sz w:val="28"/>
          <w:szCs w:val="28"/>
          <w:highlight w:val="none"/>
        </w:rPr>
        <w:t>导致流标的，招租人可以重新招租，也可以直接议标确定承租人。</w:t>
      </w:r>
    </w:p>
    <w:p w14:paraId="6EA7D9C8">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五、招租人依据评审组的书面评审报告，确定中标人，并与中标人签订《中标确认书》、《池塘租赁合同》等文件。如因中标人原因未能与招租人签订《中标确认书》、或因中标人原因逾期签署租赁合同的、或竞租人未能按时补足履约保证金和租金的，视为中标人放弃中标资格，招租人有权依顺序通知第二名中标候选人签署租赁合同，也可以重新招租。</w:t>
      </w:r>
    </w:p>
    <w:p w14:paraId="096E06E5">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六、特别提示：</w:t>
      </w:r>
    </w:p>
    <w:p w14:paraId="4842BFB9">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中标人放弃中标资格须赔偿差价】本次招租中，如果排名在先的中标候选人放弃中标资格、招租人依次通知排名在后的中标候选人签署合同的，对于减少的中标价的差额，由弃标的中标候选人负责赔偿给招租人。如果中标候选人放弃中标资格、招租人决定重新组织招租的，对于招租人重新组织招租所支付的所有相关费用以及在重新招租中的中标价低于本次弃标人中标价的差额，由弃标的中标人负责赔偿</w:t>
      </w:r>
      <w:r>
        <w:rPr>
          <w:rFonts w:ascii="仿宋" w:hAnsi="仿宋" w:eastAsia="仿宋"/>
          <w:color w:val="auto"/>
          <w:sz w:val="28"/>
          <w:szCs w:val="28"/>
          <w:highlight w:val="none"/>
        </w:rPr>
        <w:t>给招</w:t>
      </w:r>
      <w:r>
        <w:rPr>
          <w:rFonts w:hint="eastAsia" w:ascii="仿宋" w:hAnsi="仿宋" w:eastAsia="仿宋"/>
          <w:color w:val="auto"/>
          <w:sz w:val="28"/>
          <w:szCs w:val="28"/>
          <w:highlight w:val="none"/>
        </w:rPr>
        <w:t>租</w:t>
      </w:r>
      <w:r>
        <w:rPr>
          <w:rFonts w:ascii="仿宋" w:hAnsi="仿宋" w:eastAsia="仿宋"/>
          <w:color w:val="auto"/>
          <w:sz w:val="28"/>
          <w:szCs w:val="28"/>
          <w:highlight w:val="none"/>
        </w:rPr>
        <w:t>人</w:t>
      </w:r>
      <w:r>
        <w:rPr>
          <w:rFonts w:hint="eastAsia" w:ascii="仿宋" w:hAnsi="仿宋" w:eastAsia="仿宋"/>
          <w:color w:val="auto"/>
          <w:sz w:val="28"/>
          <w:szCs w:val="28"/>
          <w:highlight w:val="none"/>
        </w:rPr>
        <w:t>。</w:t>
      </w:r>
    </w:p>
    <w:p w14:paraId="1DB70E5E">
      <w:pPr>
        <w:spacing w:line="52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2、中标候选人弃标的，招租人还有权不再退还其投标保证金或履约保证金。 </w:t>
      </w:r>
    </w:p>
    <w:p w14:paraId="4E9C8FAD">
      <w:pPr>
        <w:spacing w:line="58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中标人不得与此前积欠招租人或新滩盐场的租金或占用费、侵占池塘的人员或单位之间存在转租、分租、合伙、挂名竞租等方式的合作，否则视为中标人违约，招租人有权取消其中标资格、解除合同，同时，中标人须承担合同中约定的年租金30%的违约金。</w:t>
      </w:r>
    </w:p>
    <w:p w14:paraId="0331DC59">
      <w:pPr>
        <w:spacing w:line="580" w:lineRule="exact"/>
        <w:rPr>
          <w:rFonts w:hint="eastAsia" w:ascii="幼圆" w:hAnsi="宋体" w:eastAsia="幼圆"/>
          <w:b/>
          <w:color w:val="auto"/>
          <w:sz w:val="28"/>
          <w:szCs w:val="28"/>
          <w:highlight w:val="none"/>
        </w:rPr>
      </w:pPr>
    </w:p>
    <w:p w14:paraId="0BD82450">
      <w:pPr>
        <w:spacing w:line="580" w:lineRule="exact"/>
        <w:rPr>
          <w:rFonts w:hint="eastAsia" w:ascii="幼圆" w:hAnsi="宋体" w:eastAsia="幼圆"/>
          <w:b/>
          <w:color w:val="auto"/>
          <w:sz w:val="28"/>
          <w:szCs w:val="28"/>
          <w:highlight w:val="none"/>
        </w:rPr>
      </w:pPr>
    </w:p>
    <w:p w14:paraId="0E14B05F">
      <w:pPr>
        <w:spacing w:line="580" w:lineRule="exact"/>
        <w:rPr>
          <w:rFonts w:hint="eastAsia" w:ascii="幼圆" w:hAnsi="宋体" w:eastAsia="幼圆"/>
          <w:b/>
          <w:color w:val="auto"/>
          <w:sz w:val="28"/>
          <w:szCs w:val="28"/>
          <w:highlight w:val="none"/>
        </w:rPr>
      </w:pPr>
    </w:p>
    <w:p w14:paraId="07ED7AB4">
      <w:pPr>
        <w:spacing w:line="580" w:lineRule="exact"/>
        <w:rPr>
          <w:rFonts w:hint="eastAsia" w:ascii="幼圆" w:hAnsi="宋体" w:eastAsia="幼圆"/>
          <w:b/>
          <w:color w:val="auto"/>
          <w:sz w:val="28"/>
          <w:szCs w:val="28"/>
          <w:highlight w:val="none"/>
        </w:rPr>
      </w:pPr>
    </w:p>
    <w:p w14:paraId="0866734F">
      <w:pPr>
        <w:spacing w:line="580" w:lineRule="exact"/>
        <w:rPr>
          <w:rFonts w:hint="eastAsia" w:ascii="幼圆" w:hAnsi="宋体" w:eastAsia="幼圆"/>
          <w:b/>
          <w:color w:val="auto"/>
          <w:sz w:val="28"/>
          <w:szCs w:val="28"/>
          <w:highlight w:val="none"/>
        </w:rPr>
      </w:pPr>
    </w:p>
    <w:p w14:paraId="2F297CC9">
      <w:pPr>
        <w:spacing w:line="580" w:lineRule="exact"/>
        <w:rPr>
          <w:rFonts w:hint="eastAsia" w:ascii="幼圆" w:hAnsi="宋体" w:eastAsia="幼圆"/>
          <w:b/>
          <w:color w:val="auto"/>
          <w:sz w:val="28"/>
          <w:szCs w:val="28"/>
          <w:highlight w:val="none"/>
        </w:rPr>
      </w:pPr>
    </w:p>
    <w:p w14:paraId="1913ABE0">
      <w:pPr>
        <w:spacing w:line="580" w:lineRule="exact"/>
        <w:rPr>
          <w:rFonts w:hint="eastAsia" w:ascii="幼圆" w:hAnsi="宋体" w:eastAsia="幼圆"/>
          <w:b/>
          <w:color w:val="auto"/>
          <w:sz w:val="28"/>
          <w:szCs w:val="28"/>
          <w:highlight w:val="none"/>
        </w:rPr>
      </w:pPr>
    </w:p>
    <w:p w14:paraId="2B1E1E4B">
      <w:pPr>
        <w:spacing w:line="580" w:lineRule="exact"/>
        <w:rPr>
          <w:rFonts w:ascii="幼圆" w:hAnsi="宋体" w:eastAsia="幼圆"/>
          <w:b/>
          <w:color w:val="auto"/>
          <w:sz w:val="28"/>
          <w:szCs w:val="28"/>
          <w:highlight w:val="none"/>
        </w:rPr>
      </w:pPr>
      <w:r>
        <w:rPr>
          <w:rFonts w:hint="eastAsia" w:ascii="幼圆" w:hAnsi="宋体" w:eastAsia="幼圆"/>
          <w:b/>
          <w:color w:val="auto"/>
          <w:sz w:val="28"/>
          <w:szCs w:val="28"/>
          <w:highlight w:val="none"/>
        </w:rPr>
        <w:t>附件1：中标确认书</w:t>
      </w:r>
    </w:p>
    <w:p w14:paraId="48F8A52F">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中标确认书</w:t>
      </w:r>
    </w:p>
    <w:p w14:paraId="698C3DF1">
      <w:pPr>
        <w:spacing w:line="560" w:lineRule="exact"/>
        <w:ind w:firstLine="565" w:firstLineChars="202"/>
        <w:rPr>
          <w:rFonts w:ascii="宋体" w:hAnsi="宋体"/>
          <w:color w:val="auto"/>
          <w:sz w:val="28"/>
          <w:szCs w:val="28"/>
          <w:highlight w:val="none"/>
          <w:u w:val="single"/>
        </w:rPr>
      </w:pPr>
      <w:r>
        <w:rPr>
          <w:rFonts w:hint="eastAsia" w:ascii="宋体" w:hAnsi="宋体"/>
          <w:color w:val="auto"/>
          <w:sz w:val="28"/>
          <w:szCs w:val="28"/>
          <w:highlight w:val="none"/>
        </w:rPr>
        <w:t>甲方（招租人）：</w:t>
      </w:r>
      <w:r>
        <w:rPr>
          <w:rFonts w:hint="eastAsia" w:ascii="宋体" w:hAnsi="宋体"/>
          <w:color w:val="auto"/>
          <w:sz w:val="28"/>
          <w:szCs w:val="28"/>
          <w:highlight w:val="none"/>
          <w:u w:val="single"/>
        </w:rPr>
        <w:t xml:space="preserve">  盐城市灌东盐场发展有限公司  </w:t>
      </w:r>
    </w:p>
    <w:p w14:paraId="2B4BD8B3">
      <w:pPr>
        <w:spacing w:line="56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乙方（中标人）：</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 xml:space="preserve"> </w:t>
      </w:r>
    </w:p>
    <w:p w14:paraId="77F5628C">
      <w:pPr>
        <w:spacing w:line="240" w:lineRule="exact"/>
        <w:ind w:firstLine="565" w:firstLineChars="202"/>
        <w:rPr>
          <w:rFonts w:ascii="宋体" w:hAnsi="宋体"/>
          <w:color w:val="auto"/>
          <w:sz w:val="28"/>
          <w:szCs w:val="28"/>
          <w:highlight w:val="none"/>
        </w:rPr>
      </w:pPr>
    </w:p>
    <w:p w14:paraId="7B072063">
      <w:pPr>
        <w:spacing w:line="50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在甲方组织的</w:t>
      </w:r>
      <w:r>
        <w:rPr>
          <w:rFonts w:hint="eastAsia" w:ascii="宋体" w:hAnsi="宋体"/>
          <w:color w:val="auto"/>
          <w:sz w:val="28"/>
          <w:szCs w:val="28"/>
          <w:highlight w:val="none"/>
          <w:lang w:eastAsia="zh-CN"/>
        </w:rPr>
        <w:t>2025年底到期</w:t>
      </w:r>
      <w:r>
        <w:rPr>
          <w:rFonts w:hint="eastAsia" w:ascii="宋体" w:hAnsi="宋体"/>
          <w:color w:val="auto"/>
          <w:sz w:val="28"/>
          <w:szCs w:val="28"/>
          <w:highlight w:val="none"/>
        </w:rPr>
        <w:t>池塘公开招租程序中，乙方已被确定为中标人。现将相关事项确认如下：</w:t>
      </w:r>
    </w:p>
    <w:p w14:paraId="7BC74BDF">
      <w:pPr>
        <w:spacing w:line="50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1、乙方竞租成功的池塘为甲方公布的《招租池塘情况一览表》中载明的第</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标段号池塘/水库。</w:t>
      </w:r>
    </w:p>
    <w:p w14:paraId="15765EA9">
      <w:pPr>
        <w:spacing w:line="50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2、乙方应缴纳的履约保证金为小写</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w:t>
      </w:r>
      <w:r>
        <w:rPr>
          <w:rFonts w:hint="eastAsia" w:ascii="宋体" w:hAnsi="宋体"/>
          <w:color w:val="auto"/>
          <w:sz w:val="28"/>
          <w:szCs w:val="28"/>
          <w:highlight w:val="none"/>
          <w:lang w:eastAsia="zh-CN"/>
        </w:rPr>
        <w:t>合同租金</w:t>
      </w:r>
      <w:r>
        <w:rPr>
          <w:rFonts w:hint="eastAsia" w:ascii="宋体" w:hAnsi="宋体"/>
          <w:color w:val="auto"/>
          <w:sz w:val="28"/>
          <w:szCs w:val="28"/>
          <w:highlight w:val="none"/>
        </w:rPr>
        <w:t>为小写</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元。合计总金额为小写</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元。乙方已缴纳的竞租保证金小写</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元自动转入履约保证金，预付租金小写</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元自动转入</w:t>
      </w:r>
      <w:r>
        <w:rPr>
          <w:rFonts w:hint="eastAsia" w:ascii="宋体" w:hAnsi="宋体"/>
          <w:color w:val="auto"/>
          <w:sz w:val="28"/>
          <w:szCs w:val="28"/>
          <w:highlight w:val="none"/>
          <w:lang w:eastAsia="zh-CN"/>
        </w:rPr>
        <w:t>合同租金</w:t>
      </w:r>
      <w:r>
        <w:rPr>
          <w:rFonts w:hint="eastAsia" w:ascii="宋体" w:hAnsi="宋体"/>
          <w:color w:val="auto"/>
          <w:sz w:val="28"/>
          <w:szCs w:val="28"/>
          <w:highlight w:val="none"/>
        </w:rPr>
        <w:t>，乙方需补足履约保证金</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w:t>
      </w:r>
      <w:r>
        <w:rPr>
          <w:rFonts w:hint="eastAsia" w:ascii="宋体" w:hAnsi="宋体"/>
          <w:color w:val="auto"/>
          <w:sz w:val="28"/>
          <w:szCs w:val="28"/>
          <w:highlight w:val="none"/>
          <w:lang w:eastAsia="zh-CN"/>
        </w:rPr>
        <w:t>合同租金</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。上述两项合计人民币大写</w:t>
      </w:r>
      <w:r>
        <w:rPr>
          <w:rFonts w:hint="eastAsia" w:ascii="宋体" w:hAnsi="宋体"/>
          <w:color w:val="auto"/>
          <w:sz w:val="28"/>
          <w:szCs w:val="28"/>
          <w:highlight w:val="none"/>
          <w:u w:val="single"/>
          <w:shd w:val="pct10" w:color="auto" w:fill="FFFFFF"/>
        </w:rPr>
        <w:t xml:space="preserve">              </w:t>
      </w:r>
      <w:r>
        <w:rPr>
          <w:rFonts w:hint="eastAsia" w:ascii="宋体" w:hAnsi="宋体"/>
          <w:color w:val="auto"/>
          <w:sz w:val="28"/>
          <w:szCs w:val="28"/>
          <w:highlight w:val="none"/>
        </w:rPr>
        <w:t>元，由乙方自签署本确认书后7日内付清。</w:t>
      </w:r>
    </w:p>
    <w:p w14:paraId="43D77ADC">
      <w:pPr>
        <w:spacing w:line="50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3、在乙方交清履约保证金和</w:t>
      </w:r>
      <w:r>
        <w:rPr>
          <w:rFonts w:hint="eastAsia" w:ascii="宋体" w:hAnsi="宋体"/>
          <w:color w:val="auto"/>
          <w:sz w:val="28"/>
          <w:szCs w:val="28"/>
          <w:highlight w:val="none"/>
          <w:lang w:eastAsia="zh-CN"/>
        </w:rPr>
        <w:t>合同租金</w:t>
      </w:r>
      <w:r>
        <w:rPr>
          <w:rFonts w:hint="eastAsia" w:ascii="宋体" w:hAnsi="宋体"/>
          <w:color w:val="auto"/>
          <w:sz w:val="28"/>
          <w:szCs w:val="28"/>
          <w:highlight w:val="none"/>
        </w:rPr>
        <w:t>后3日内，乙方须与甲方正式签署此前已公布的《池塘租赁合同》。租赁合同中的权利义务性条款原则上不作实质性调整。</w:t>
      </w:r>
    </w:p>
    <w:p w14:paraId="4E931D5E">
      <w:pPr>
        <w:spacing w:line="50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4、如因中标人原因未能与招租人签订《中标确认书》、或竞租人未能按时足额缴纳履约保证金和租金的、或逾期签署租赁合同的，按照中标人弃标处理，招租人通知第二名中标候选人签署《中标确认书》和《池塘租赁合同》，也可以重新招租。</w:t>
      </w:r>
    </w:p>
    <w:p w14:paraId="2199347B">
      <w:pPr>
        <w:spacing w:line="500" w:lineRule="exact"/>
        <w:rPr>
          <w:rFonts w:ascii="宋体" w:hAnsi="宋体"/>
          <w:color w:val="auto"/>
          <w:sz w:val="28"/>
          <w:szCs w:val="28"/>
          <w:highlight w:val="none"/>
          <w:u w:val="single"/>
        </w:rPr>
      </w:pPr>
      <w:r>
        <w:rPr>
          <w:rFonts w:hint="eastAsia" w:ascii="宋体" w:hAnsi="宋体"/>
          <w:color w:val="auto"/>
          <w:sz w:val="28"/>
          <w:szCs w:val="28"/>
          <w:highlight w:val="none"/>
        </w:rPr>
        <w:t>甲方：</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代表：</w:t>
      </w:r>
      <w:r>
        <w:rPr>
          <w:rFonts w:hint="eastAsia" w:ascii="宋体" w:hAnsi="宋体"/>
          <w:color w:val="auto"/>
          <w:sz w:val="28"/>
          <w:szCs w:val="28"/>
          <w:highlight w:val="none"/>
          <w:u w:val="single"/>
        </w:rPr>
        <w:t xml:space="preserve">                 </w:t>
      </w:r>
    </w:p>
    <w:p w14:paraId="57AEF875">
      <w:pPr>
        <w:spacing w:line="500" w:lineRule="exact"/>
        <w:rPr>
          <w:rFonts w:ascii="宋体" w:hAnsi="宋体"/>
          <w:color w:val="auto"/>
          <w:sz w:val="28"/>
          <w:szCs w:val="28"/>
          <w:highlight w:val="none"/>
        </w:rPr>
      </w:pPr>
      <w:r>
        <w:rPr>
          <w:rFonts w:hint="eastAsia" w:ascii="宋体" w:hAnsi="宋体"/>
          <w:color w:val="auto"/>
          <w:sz w:val="28"/>
          <w:szCs w:val="28"/>
          <w:highlight w:val="none"/>
        </w:rPr>
        <w:t>乙方：</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代表：</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 xml:space="preserve"> </w:t>
      </w:r>
    </w:p>
    <w:p w14:paraId="570EE6B2">
      <w:pPr>
        <w:spacing w:line="500" w:lineRule="exact"/>
        <w:rPr>
          <w:rFonts w:ascii="幼圆" w:hAnsi="宋体" w:eastAsia="幼圆"/>
          <w:b/>
          <w:color w:val="auto"/>
          <w:sz w:val="28"/>
          <w:szCs w:val="28"/>
          <w:highlight w:val="none"/>
        </w:rPr>
        <w:sectPr>
          <w:headerReference r:id="rId3" w:type="default"/>
          <w:footerReference r:id="rId4" w:type="default"/>
          <w:pgSz w:w="11906" w:h="16838"/>
          <w:pgMar w:top="1440" w:right="1274" w:bottom="1440" w:left="1800" w:header="851" w:footer="992" w:gutter="0"/>
          <w:cols w:space="720" w:num="1"/>
          <w:docGrid w:type="lines" w:linePitch="312" w:charSpace="0"/>
        </w:sectPr>
      </w:pPr>
      <w:r>
        <w:rPr>
          <w:rFonts w:hint="eastAsia" w:ascii="宋体" w:hAnsi="宋体"/>
          <w:color w:val="auto"/>
          <w:sz w:val="28"/>
          <w:szCs w:val="28"/>
          <w:highlight w:val="none"/>
        </w:rPr>
        <w:t>签署时间：202</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rPr>
        <w:t>年</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rPr>
        <w:t>月</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rPr>
        <w:t>日</w:t>
      </w:r>
    </w:p>
    <w:tbl>
      <w:tblPr>
        <w:tblStyle w:val="8"/>
        <w:tblW w:w="9559" w:type="dxa"/>
        <w:tblInd w:w="-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6"/>
        <w:gridCol w:w="1686"/>
        <w:gridCol w:w="1203"/>
        <w:gridCol w:w="589"/>
        <w:gridCol w:w="1666"/>
        <w:gridCol w:w="844"/>
        <w:gridCol w:w="1002"/>
        <w:gridCol w:w="1893"/>
      </w:tblGrid>
      <w:tr w14:paraId="61B7B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8" w:hRule="atLeast"/>
        </w:trPr>
        <w:tc>
          <w:tcPr>
            <w:tcW w:w="9559" w:type="dxa"/>
            <w:gridSpan w:val="8"/>
            <w:tcBorders>
              <w:top w:val="nil"/>
              <w:left w:val="nil"/>
              <w:bottom w:val="nil"/>
              <w:right w:val="nil"/>
            </w:tcBorders>
            <w:shd w:val="clear" w:color="auto" w:fill="auto"/>
            <w:noWrap/>
            <w:vAlign w:val="center"/>
          </w:tcPr>
          <w:p w14:paraId="3B849EA6">
            <w:pPr>
              <w:keepNext w:val="0"/>
              <w:keepLines w:val="0"/>
              <w:widowControl/>
              <w:suppressLineNumbers w:val="0"/>
              <w:jc w:val="left"/>
              <w:textAlignment w:val="center"/>
              <w:rPr>
                <w:rFonts w:ascii="新宋体" w:hAnsi="新宋体" w:eastAsia="新宋体" w:cs="新宋体"/>
                <w:b/>
                <w:bCs/>
                <w:i w:val="0"/>
                <w:iCs w:val="0"/>
                <w:color w:val="000000"/>
                <w:sz w:val="28"/>
                <w:szCs w:val="28"/>
                <w:u w:val="none"/>
              </w:rPr>
            </w:pPr>
            <w:r>
              <w:rPr>
                <w:rFonts w:hint="eastAsia" w:ascii="新宋体" w:hAnsi="新宋体" w:eastAsia="新宋体" w:cs="新宋体"/>
                <w:b/>
                <w:bCs/>
                <w:i w:val="0"/>
                <w:iCs w:val="0"/>
                <w:color w:val="000000"/>
                <w:kern w:val="0"/>
                <w:sz w:val="28"/>
                <w:szCs w:val="28"/>
                <w:u w:val="none"/>
                <w:lang w:val="en-US" w:eastAsia="zh-CN" w:bidi="ar"/>
              </w:rPr>
              <w:t>附件2：招租池塘情况一览表</w:t>
            </w:r>
          </w:p>
        </w:tc>
      </w:tr>
      <w:tr w14:paraId="2BC38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8" w:hRule="atLeast"/>
        </w:trPr>
        <w:tc>
          <w:tcPr>
            <w:tcW w:w="676" w:type="dxa"/>
            <w:tcBorders>
              <w:top w:val="single" w:color="000000" w:sz="8" w:space="0"/>
              <w:left w:val="single" w:color="000000" w:sz="8" w:space="0"/>
              <w:bottom w:val="nil"/>
              <w:right w:val="single" w:color="000000" w:sz="8" w:space="0"/>
            </w:tcBorders>
            <w:shd w:val="clear" w:color="auto" w:fill="auto"/>
            <w:vAlign w:val="center"/>
          </w:tcPr>
          <w:p w14:paraId="61C950A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招租池塘标段号</w:t>
            </w:r>
          </w:p>
        </w:tc>
        <w:tc>
          <w:tcPr>
            <w:tcW w:w="1686" w:type="dxa"/>
            <w:tcBorders>
              <w:top w:val="single" w:color="000000" w:sz="8" w:space="0"/>
              <w:left w:val="nil"/>
              <w:bottom w:val="nil"/>
              <w:right w:val="single" w:color="000000" w:sz="8" w:space="0"/>
            </w:tcBorders>
            <w:shd w:val="clear" w:color="auto" w:fill="auto"/>
            <w:vAlign w:val="center"/>
          </w:tcPr>
          <w:p w14:paraId="30DB24C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池塘位置</w:t>
            </w:r>
          </w:p>
        </w:tc>
        <w:tc>
          <w:tcPr>
            <w:tcW w:w="1203" w:type="dxa"/>
            <w:tcBorders>
              <w:top w:val="single" w:color="000000" w:sz="8" w:space="0"/>
              <w:left w:val="nil"/>
              <w:bottom w:val="nil"/>
              <w:right w:val="single" w:color="000000" w:sz="8" w:space="0"/>
            </w:tcBorders>
            <w:shd w:val="clear" w:color="auto" w:fill="auto"/>
            <w:vAlign w:val="center"/>
          </w:tcPr>
          <w:p w14:paraId="51FCCBC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租赁面积（亩）</w:t>
            </w:r>
          </w:p>
        </w:tc>
        <w:tc>
          <w:tcPr>
            <w:tcW w:w="589" w:type="dxa"/>
            <w:tcBorders>
              <w:top w:val="single" w:color="000000" w:sz="8" w:space="0"/>
              <w:left w:val="nil"/>
              <w:bottom w:val="nil"/>
              <w:right w:val="single" w:color="000000" w:sz="8" w:space="0"/>
            </w:tcBorders>
            <w:shd w:val="clear" w:color="auto" w:fill="auto"/>
            <w:vAlign w:val="center"/>
          </w:tcPr>
          <w:p w14:paraId="18491C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养殖类型</w:t>
            </w:r>
          </w:p>
        </w:tc>
        <w:tc>
          <w:tcPr>
            <w:tcW w:w="1666" w:type="dxa"/>
            <w:tcBorders>
              <w:top w:val="single" w:color="000000" w:sz="8" w:space="0"/>
              <w:left w:val="nil"/>
              <w:bottom w:val="nil"/>
              <w:right w:val="single" w:color="000000" w:sz="8" w:space="0"/>
            </w:tcBorders>
            <w:shd w:val="clear" w:color="auto" w:fill="auto"/>
            <w:vAlign w:val="center"/>
          </w:tcPr>
          <w:p w14:paraId="43A2A2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租赁到期时间（招租年限）</w:t>
            </w:r>
          </w:p>
        </w:tc>
        <w:tc>
          <w:tcPr>
            <w:tcW w:w="844" w:type="dxa"/>
            <w:tcBorders>
              <w:top w:val="single" w:color="000000" w:sz="8" w:space="0"/>
              <w:left w:val="nil"/>
              <w:bottom w:val="nil"/>
              <w:right w:val="single" w:color="000000" w:sz="8" w:space="0"/>
            </w:tcBorders>
            <w:shd w:val="clear" w:color="auto" w:fill="auto"/>
            <w:vAlign w:val="center"/>
          </w:tcPr>
          <w:p w14:paraId="1D93F80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招租底价（每亩每年人民币元）</w:t>
            </w:r>
          </w:p>
        </w:tc>
        <w:tc>
          <w:tcPr>
            <w:tcW w:w="1002" w:type="dxa"/>
            <w:tcBorders>
              <w:top w:val="single" w:color="000000" w:sz="8" w:space="0"/>
              <w:left w:val="nil"/>
              <w:bottom w:val="nil"/>
              <w:right w:val="single" w:color="000000" w:sz="8" w:space="0"/>
            </w:tcBorders>
            <w:shd w:val="clear" w:color="auto" w:fill="auto"/>
            <w:vAlign w:val="center"/>
          </w:tcPr>
          <w:p w14:paraId="43F62C7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竞租保证金及预付租金（人民币万元）</w:t>
            </w:r>
          </w:p>
        </w:tc>
        <w:tc>
          <w:tcPr>
            <w:tcW w:w="1893" w:type="dxa"/>
            <w:tcBorders>
              <w:top w:val="single" w:color="000000" w:sz="8" w:space="0"/>
              <w:left w:val="nil"/>
              <w:bottom w:val="nil"/>
              <w:right w:val="single" w:color="000000" w:sz="8" w:space="0"/>
            </w:tcBorders>
            <w:shd w:val="clear" w:color="auto" w:fill="auto"/>
            <w:vAlign w:val="center"/>
          </w:tcPr>
          <w:p w14:paraId="54C5B0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0AB95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F1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F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1排1#-14#、2排1#-21#</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46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1827.86</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80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海水</w:t>
            </w: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975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2026.1.1-2026.12.31（1年）</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0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1680</w:t>
            </w: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68E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338 </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9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承租人不得放养生长周期超过一年的鱼虾、贝类等品种</w:t>
            </w:r>
          </w:p>
        </w:tc>
      </w:tr>
      <w:tr w14:paraId="6D9FA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6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G3</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799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裕通6排</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D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1669</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4D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海水</w:t>
            </w: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99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交塘时间</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2028.12.31</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04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1B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155 </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AB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现状发包；养殖活动确保符合光伏电站运维要求</w:t>
            </w:r>
          </w:p>
        </w:tc>
      </w:tr>
      <w:tr w14:paraId="6BFE3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9"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D3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B19</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0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二道海堤堆东段</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5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3D1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海水</w:t>
            </w: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6F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2026.1.1-2026.12.31（1年）</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FF8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 </w:t>
            </w: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8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0.25 </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2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现状发包；水电路等自行解决</w:t>
            </w:r>
          </w:p>
        </w:tc>
      </w:tr>
      <w:tr w14:paraId="4E83B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02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B21</w:t>
            </w: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6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2号泵站边</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43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43.57</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AD6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海水</w:t>
            </w: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FC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2026.1.1-2026.12.31（1年）</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FF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550 </w:t>
            </w: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6C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2.64 </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E0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现状发包；水电路等自行解决</w:t>
            </w:r>
          </w:p>
        </w:tc>
      </w:tr>
    </w:tbl>
    <w:p w14:paraId="0F4B199A">
      <w:pPr>
        <w:spacing w:line="580" w:lineRule="exact"/>
        <w:rPr>
          <w:rFonts w:hint="eastAsia" w:ascii="幼圆" w:hAnsi="宋体" w:eastAsia="幼圆"/>
          <w:b/>
          <w:color w:val="auto"/>
          <w:sz w:val="28"/>
          <w:szCs w:val="28"/>
          <w:highlight w:val="none"/>
        </w:rPr>
      </w:pPr>
    </w:p>
    <w:p w14:paraId="63E3EB1B">
      <w:pPr>
        <w:spacing w:line="580" w:lineRule="exact"/>
        <w:rPr>
          <w:rFonts w:hint="eastAsia" w:ascii="幼圆" w:hAnsi="宋体" w:eastAsia="幼圆"/>
          <w:b/>
          <w:color w:val="auto"/>
          <w:sz w:val="28"/>
          <w:szCs w:val="28"/>
          <w:highlight w:val="none"/>
        </w:rPr>
      </w:pPr>
    </w:p>
    <w:p w14:paraId="3AED12E9">
      <w:pPr>
        <w:spacing w:line="580" w:lineRule="exact"/>
        <w:rPr>
          <w:rFonts w:hint="eastAsia" w:ascii="幼圆" w:hAnsi="宋体" w:eastAsia="幼圆"/>
          <w:b/>
          <w:color w:val="auto"/>
          <w:sz w:val="28"/>
          <w:szCs w:val="28"/>
          <w:highlight w:val="none"/>
        </w:rPr>
      </w:pPr>
    </w:p>
    <w:p w14:paraId="062DD585">
      <w:pPr>
        <w:spacing w:line="580" w:lineRule="exact"/>
        <w:rPr>
          <w:rFonts w:hint="eastAsia" w:ascii="幼圆" w:hAnsi="宋体" w:eastAsia="幼圆"/>
          <w:b/>
          <w:color w:val="auto"/>
          <w:sz w:val="28"/>
          <w:szCs w:val="28"/>
          <w:highlight w:val="none"/>
        </w:rPr>
      </w:pPr>
    </w:p>
    <w:p w14:paraId="39F73443">
      <w:pPr>
        <w:spacing w:line="580" w:lineRule="exact"/>
        <w:rPr>
          <w:rFonts w:hint="eastAsia" w:ascii="幼圆" w:hAnsi="宋体" w:eastAsia="幼圆"/>
          <w:b/>
          <w:color w:val="auto"/>
          <w:sz w:val="28"/>
          <w:szCs w:val="28"/>
          <w:highlight w:val="none"/>
        </w:rPr>
      </w:pPr>
    </w:p>
    <w:p w14:paraId="174C84F8">
      <w:pPr>
        <w:spacing w:line="580" w:lineRule="exact"/>
        <w:rPr>
          <w:rFonts w:hint="eastAsia" w:ascii="幼圆" w:hAnsi="宋体" w:eastAsia="幼圆"/>
          <w:b/>
          <w:color w:val="auto"/>
          <w:sz w:val="28"/>
          <w:szCs w:val="28"/>
          <w:highlight w:val="none"/>
        </w:rPr>
      </w:pPr>
    </w:p>
    <w:p w14:paraId="1CC6808C">
      <w:pPr>
        <w:spacing w:line="580" w:lineRule="exact"/>
        <w:rPr>
          <w:rFonts w:hint="eastAsia" w:ascii="幼圆" w:hAnsi="宋体" w:eastAsia="幼圆"/>
          <w:b/>
          <w:color w:val="auto"/>
          <w:sz w:val="28"/>
          <w:szCs w:val="28"/>
          <w:highlight w:val="none"/>
        </w:rPr>
      </w:pPr>
    </w:p>
    <w:p w14:paraId="1C6494C8">
      <w:pPr>
        <w:spacing w:line="580" w:lineRule="exact"/>
        <w:rPr>
          <w:rFonts w:hint="eastAsia" w:ascii="幼圆" w:hAnsi="宋体" w:eastAsia="幼圆"/>
          <w:b/>
          <w:color w:val="auto"/>
          <w:sz w:val="28"/>
          <w:szCs w:val="28"/>
          <w:highlight w:val="none"/>
        </w:rPr>
      </w:pPr>
    </w:p>
    <w:p w14:paraId="40605BE6">
      <w:pPr>
        <w:spacing w:line="580" w:lineRule="exact"/>
        <w:rPr>
          <w:rFonts w:hint="eastAsia" w:ascii="幼圆" w:hAnsi="宋体" w:eastAsia="幼圆"/>
          <w:b/>
          <w:color w:val="auto"/>
          <w:sz w:val="28"/>
          <w:szCs w:val="28"/>
          <w:highlight w:val="none"/>
        </w:rPr>
      </w:pPr>
    </w:p>
    <w:p w14:paraId="6370CDB9">
      <w:pPr>
        <w:spacing w:line="580" w:lineRule="exact"/>
        <w:rPr>
          <w:rFonts w:hint="eastAsia" w:ascii="幼圆" w:hAnsi="宋体" w:eastAsia="幼圆"/>
          <w:b/>
          <w:color w:val="auto"/>
          <w:sz w:val="28"/>
          <w:szCs w:val="28"/>
          <w:highlight w:val="none"/>
        </w:rPr>
      </w:pPr>
    </w:p>
    <w:p w14:paraId="77B5A263">
      <w:pPr>
        <w:spacing w:line="580" w:lineRule="exact"/>
        <w:rPr>
          <w:rFonts w:hint="eastAsia" w:ascii="幼圆" w:hAnsi="宋体" w:eastAsia="幼圆"/>
          <w:b/>
          <w:color w:val="auto"/>
          <w:sz w:val="28"/>
          <w:szCs w:val="28"/>
          <w:highlight w:val="none"/>
        </w:rPr>
      </w:pPr>
    </w:p>
    <w:p w14:paraId="65D42D8F">
      <w:pPr>
        <w:spacing w:line="580" w:lineRule="exact"/>
        <w:rPr>
          <w:rFonts w:ascii="幼圆" w:hAnsi="宋体" w:eastAsia="幼圆"/>
          <w:b/>
          <w:color w:val="auto"/>
          <w:sz w:val="28"/>
          <w:szCs w:val="28"/>
          <w:highlight w:val="none"/>
        </w:rPr>
      </w:pPr>
      <w:r>
        <w:rPr>
          <w:rFonts w:hint="eastAsia" w:ascii="幼圆" w:hAnsi="宋体" w:eastAsia="幼圆"/>
          <w:b/>
          <w:color w:val="auto"/>
          <w:sz w:val="28"/>
          <w:szCs w:val="28"/>
          <w:highlight w:val="none"/>
        </w:rPr>
        <w:t xml:space="preserve">附件3：竞租池塘登记表 </w:t>
      </w:r>
    </w:p>
    <w:p w14:paraId="7F3558AF">
      <w:pPr>
        <w:spacing w:line="240" w:lineRule="exact"/>
        <w:rPr>
          <w:rFonts w:ascii="华文中宋" w:hAnsi="华文中宋" w:eastAsia="华文中宋"/>
          <w:b/>
          <w:color w:val="auto"/>
          <w:sz w:val="36"/>
          <w:szCs w:val="36"/>
          <w:highlight w:val="none"/>
        </w:rPr>
      </w:pPr>
    </w:p>
    <w:p w14:paraId="5B4AC3D1">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 xml:space="preserve">竞租池塘登记表 </w:t>
      </w:r>
      <w:r>
        <w:rPr>
          <w:rFonts w:hint="eastAsia" w:ascii="仿宋" w:hAnsi="仿宋" w:eastAsia="仿宋"/>
          <w:b/>
          <w:color w:val="auto"/>
          <w:sz w:val="28"/>
          <w:szCs w:val="28"/>
          <w:highlight w:val="none"/>
        </w:rPr>
        <w:t xml:space="preserve">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662"/>
      </w:tblGrid>
      <w:tr w14:paraId="69910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vAlign w:val="center"/>
          </w:tcPr>
          <w:p w14:paraId="5FEC3884">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竞租人名称/姓名</w:t>
            </w:r>
          </w:p>
        </w:tc>
        <w:tc>
          <w:tcPr>
            <w:tcW w:w="6662" w:type="dxa"/>
          </w:tcPr>
          <w:p w14:paraId="171402AC">
            <w:pPr>
              <w:spacing w:line="360" w:lineRule="auto"/>
              <w:rPr>
                <w:rFonts w:ascii="仿宋" w:hAnsi="仿宋" w:eastAsia="仿宋" w:cs="Times New Roman"/>
                <w:b/>
                <w:color w:val="auto"/>
                <w:kern w:val="0"/>
                <w:sz w:val="28"/>
                <w:szCs w:val="28"/>
                <w:highlight w:val="none"/>
              </w:rPr>
            </w:pPr>
          </w:p>
        </w:tc>
      </w:tr>
      <w:tr w14:paraId="3482E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7A9FAD80">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竞租人证件及号码</w:t>
            </w:r>
          </w:p>
        </w:tc>
        <w:tc>
          <w:tcPr>
            <w:tcW w:w="6662" w:type="dxa"/>
          </w:tcPr>
          <w:p w14:paraId="4F410610">
            <w:pPr>
              <w:spacing w:line="360" w:lineRule="auto"/>
              <w:rPr>
                <w:rFonts w:ascii="仿宋" w:hAnsi="仿宋" w:eastAsia="仿宋" w:cs="Times New Roman"/>
                <w:b/>
                <w:color w:val="auto"/>
                <w:kern w:val="0"/>
                <w:sz w:val="28"/>
                <w:szCs w:val="28"/>
                <w:highlight w:val="none"/>
              </w:rPr>
            </w:pPr>
          </w:p>
        </w:tc>
      </w:tr>
      <w:tr w14:paraId="5868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158C6202">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竞租人的声明</w:t>
            </w:r>
          </w:p>
        </w:tc>
        <w:tc>
          <w:tcPr>
            <w:tcW w:w="6662" w:type="dxa"/>
          </w:tcPr>
          <w:p w14:paraId="5594F2D3">
            <w:pPr>
              <w:ind w:firstLine="484" w:firstLineChars="202"/>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1、本人已经完全知悉意向竞租池塘的现状，完全理解招租人就本次池塘招租的所有招租文件内容，并完全接受招租文件的所有要求。</w:t>
            </w:r>
          </w:p>
          <w:p w14:paraId="28C14865">
            <w:pPr>
              <w:ind w:firstLine="484" w:firstLineChars="202"/>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2、本人与招租人灌东盐场、新滩盐场、新昇水产公司之间的此前所有池塘/水库租赁合同或承包合同的有关争议全部处理完毕，双方之间不再有任何争议和纠纷，且本人承诺不再向招租人（原出租人）提出任何主张和要求。</w:t>
            </w:r>
          </w:p>
          <w:p w14:paraId="1D6C737D">
            <w:pPr>
              <w:ind w:firstLine="484" w:firstLineChars="202"/>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3、就我方租赁的到期池塘，本次竞租未中标的，我方保证在原合同约定时间内清塘并向贵方交还上述池塘。</w:t>
            </w:r>
          </w:p>
        </w:tc>
      </w:tr>
      <w:tr w14:paraId="06AEA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59DE9D9A">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意向竞租池塘</w:t>
            </w:r>
          </w:p>
          <w:p w14:paraId="67017798">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标段号</w:t>
            </w:r>
          </w:p>
        </w:tc>
        <w:tc>
          <w:tcPr>
            <w:tcW w:w="6662" w:type="dxa"/>
            <w:vAlign w:val="center"/>
          </w:tcPr>
          <w:p w14:paraId="20AF3724">
            <w:pPr>
              <w:spacing w:line="360" w:lineRule="auto"/>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招租人已公布《招租池塘情况一览表》中载明的招租池塘标段号为第</w:t>
            </w:r>
            <w:r>
              <w:rPr>
                <w:rFonts w:hint="eastAsia" w:ascii="仿宋" w:hAnsi="仿宋" w:eastAsia="仿宋" w:cs="Times New Roman"/>
                <w:color w:val="auto"/>
                <w:kern w:val="0"/>
                <w:sz w:val="28"/>
                <w:szCs w:val="28"/>
                <w:highlight w:val="none"/>
                <w:shd w:val="pct10" w:color="auto" w:fill="FFFFFF"/>
              </w:rPr>
              <w:t xml:space="preserve">       </w:t>
            </w:r>
            <w:r>
              <w:rPr>
                <w:rFonts w:hint="eastAsia" w:ascii="仿宋" w:hAnsi="仿宋" w:eastAsia="仿宋" w:cs="Times New Roman"/>
                <w:color w:val="auto"/>
                <w:kern w:val="0"/>
                <w:sz w:val="24"/>
                <w:szCs w:val="24"/>
                <w:highlight w:val="none"/>
              </w:rPr>
              <w:t>号池塘。</w:t>
            </w:r>
          </w:p>
        </w:tc>
      </w:tr>
      <w:tr w14:paraId="2BC43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35" w:type="dxa"/>
            <w:vAlign w:val="center"/>
          </w:tcPr>
          <w:p w14:paraId="19F27E45">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已缴竞租保证金及预付租金</w:t>
            </w:r>
          </w:p>
        </w:tc>
        <w:tc>
          <w:tcPr>
            <w:tcW w:w="6662" w:type="dxa"/>
            <w:vAlign w:val="center"/>
          </w:tcPr>
          <w:p w14:paraId="1FE511D6">
            <w:pPr>
              <w:spacing w:line="360" w:lineRule="auto"/>
              <w:rPr>
                <w:rFonts w:hint="eastAsia" w:ascii="仿宋" w:hAnsi="仿宋" w:eastAsia="仿宋" w:cs="Times New Roman"/>
                <w:color w:val="auto"/>
                <w:kern w:val="0"/>
                <w:sz w:val="24"/>
                <w:szCs w:val="24"/>
                <w:highlight w:val="none"/>
              </w:rPr>
            </w:pPr>
          </w:p>
          <w:p w14:paraId="0F8C61A6">
            <w:pPr>
              <w:spacing w:line="360" w:lineRule="auto"/>
              <w:rPr>
                <w:rFonts w:hint="eastAsia"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竞租保证金人民币小写</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shd w:val="pct10" w:color="auto" w:fill="FFFFFF"/>
                <w:lang w:val="en-US" w:eastAsia="zh-CN"/>
              </w:rPr>
              <w:t xml:space="preserve"> </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rPr>
              <w:t>元</w:t>
            </w:r>
            <w:r>
              <w:rPr>
                <w:rFonts w:hint="eastAsia" w:ascii="仿宋" w:hAnsi="仿宋" w:eastAsia="仿宋" w:cs="Times New Roman"/>
                <w:color w:val="auto"/>
                <w:kern w:val="0"/>
                <w:sz w:val="24"/>
                <w:szCs w:val="24"/>
                <w:highlight w:val="none"/>
                <w:lang w:eastAsia="zh-CN"/>
              </w:rPr>
              <w:t>，</w:t>
            </w:r>
            <w:r>
              <w:rPr>
                <w:rFonts w:hint="eastAsia" w:ascii="仿宋" w:hAnsi="仿宋" w:eastAsia="仿宋" w:cs="Times New Roman"/>
                <w:color w:val="auto"/>
                <w:kern w:val="0"/>
                <w:sz w:val="24"/>
                <w:szCs w:val="24"/>
                <w:highlight w:val="none"/>
              </w:rPr>
              <w:t xml:space="preserve"> 预付租金人民币小写</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shd w:val="pct10" w:color="auto" w:fill="FFFFFF"/>
                <w:lang w:val="en-US" w:eastAsia="zh-CN"/>
              </w:rPr>
              <w:t xml:space="preserve"> </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rPr>
              <w:t>元</w:t>
            </w:r>
            <w:r>
              <w:rPr>
                <w:rFonts w:hint="eastAsia" w:ascii="仿宋" w:hAnsi="仿宋" w:eastAsia="仿宋" w:cs="Times New Roman"/>
                <w:color w:val="auto"/>
                <w:kern w:val="0"/>
                <w:sz w:val="24"/>
                <w:szCs w:val="24"/>
                <w:highlight w:val="none"/>
                <w:lang w:eastAsia="zh-CN"/>
              </w:rPr>
              <w:t>；</w:t>
            </w:r>
            <w:r>
              <w:rPr>
                <w:rFonts w:hint="eastAsia" w:ascii="仿宋" w:hAnsi="仿宋" w:eastAsia="仿宋" w:cs="Times New Roman"/>
                <w:color w:val="auto"/>
                <w:kern w:val="0"/>
                <w:sz w:val="24"/>
                <w:szCs w:val="24"/>
                <w:highlight w:val="none"/>
                <w:lang w:val="en-US" w:eastAsia="zh-CN"/>
              </w:rPr>
              <w:t>合计人民币小写</w:t>
            </w:r>
            <w:r>
              <w:rPr>
                <w:rFonts w:hint="eastAsia" w:ascii="仿宋" w:hAnsi="仿宋" w:eastAsia="仿宋" w:cs="Times New Roman"/>
                <w:color w:val="auto"/>
                <w:kern w:val="0"/>
                <w:sz w:val="24"/>
                <w:szCs w:val="24"/>
                <w:highlight w:val="none"/>
              </w:rPr>
              <w:t xml:space="preserve"> </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shd w:val="pct10" w:color="auto" w:fill="FFFFFF"/>
                <w:lang w:val="en-US" w:eastAsia="zh-CN"/>
              </w:rPr>
              <w:t xml:space="preserve">     </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shd w:val="pct10" w:color="auto" w:fill="FFFFFF"/>
                <w:lang w:val="en-US" w:eastAsia="zh-CN"/>
              </w:rPr>
              <w:t xml:space="preserve"> </w:t>
            </w:r>
            <w:r>
              <w:rPr>
                <w:rFonts w:hint="eastAsia" w:ascii="仿宋" w:hAnsi="仿宋" w:eastAsia="仿宋" w:cs="Times New Roman"/>
                <w:color w:val="auto"/>
                <w:kern w:val="0"/>
                <w:sz w:val="24"/>
                <w:szCs w:val="24"/>
                <w:highlight w:val="none"/>
                <w:shd w:val="pct10" w:color="auto" w:fill="FFFFFF"/>
              </w:rPr>
              <w:t xml:space="preserve">     </w:t>
            </w:r>
            <w:r>
              <w:rPr>
                <w:rFonts w:hint="eastAsia" w:ascii="仿宋" w:hAnsi="仿宋" w:eastAsia="仿宋" w:cs="Times New Roman"/>
                <w:color w:val="auto"/>
                <w:kern w:val="0"/>
                <w:sz w:val="24"/>
                <w:szCs w:val="24"/>
                <w:highlight w:val="none"/>
              </w:rPr>
              <w:t>元</w:t>
            </w:r>
            <w:r>
              <w:rPr>
                <w:rFonts w:hint="eastAsia" w:ascii="仿宋" w:hAnsi="仿宋" w:eastAsia="仿宋" w:cs="Times New Roman"/>
                <w:color w:val="auto"/>
                <w:kern w:val="0"/>
                <w:sz w:val="24"/>
                <w:szCs w:val="24"/>
                <w:highlight w:val="none"/>
                <w:lang w:eastAsia="zh-CN"/>
              </w:rPr>
              <w:t>。</w:t>
            </w:r>
            <w:r>
              <w:rPr>
                <w:rFonts w:hint="eastAsia" w:ascii="仿宋" w:hAnsi="仿宋" w:eastAsia="仿宋" w:cs="Times New Roman"/>
                <w:color w:val="auto"/>
                <w:kern w:val="0"/>
                <w:sz w:val="24"/>
                <w:szCs w:val="24"/>
                <w:highlight w:val="none"/>
              </w:rPr>
              <w:t xml:space="preserve">                    </w:t>
            </w:r>
          </w:p>
          <w:p w14:paraId="5DCC8956">
            <w:pPr>
              <w:spacing w:line="360" w:lineRule="auto"/>
              <w:rPr>
                <w:rFonts w:hint="eastAsia" w:ascii="仿宋" w:hAnsi="仿宋" w:eastAsia="仿宋" w:cs="Times New Roman"/>
                <w:color w:val="auto"/>
                <w:kern w:val="0"/>
                <w:sz w:val="24"/>
                <w:szCs w:val="24"/>
                <w:highlight w:val="none"/>
              </w:rPr>
            </w:pPr>
          </w:p>
        </w:tc>
      </w:tr>
      <w:tr w14:paraId="38130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1C3FF62C">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竞租人送达地址</w:t>
            </w:r>
          </w:p>
        </w:tc>
        <w:tc>
          <w:tcPr>
            <w:tcW w:w="6662" w:type="dxa"/>
            <w:vAlign w:val="center"/>
          </w:tcPr>
          <w:p w14:paraId="077F9E69">
            <w:pPr>
              <w:spacing w:line="360" w:lineRule="auto"/>
              <w:rPr>
                <w:rFonts w:ascii="仿宋" w:hAnsi="仿宋" w:eastAsia="仿宋" w:cs="Times New Roman"/>
                <w:b/>
                <w:color w:val="auto"/>
                <w:kern w:val="0"/>
                <w:sz w:val="28"/>
                <w:szCs w:val="28"/>
                <w:highlight w:val="none"/>
              </w:rPr>
            </w:pPr>
          </w:p>
        </w:tc>
      </w:tr>
      <w:tr w14:paraId="53B3C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5C2E9330">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联系人及电话号码</w:t>
            </w:r>
          </w:p>
        </w:tc>
        <w:tc>
          <w:tcPr>
            <w:tcW w:w="6662" w:type="dxa"/>
          </w:tcPr>
          <w:p w14:paraId="7B002356">
            <w:pPr>
              <w:spacing w:line="360" w:lineRule="auto"/>
              <w:rPr>
                <w:rFonts w:ascii="仿宋" w:hAnsi="仿宋" w:eastAsia="仿宋" w:cs="Times New Roman"/>
                <w:b/>
                <w:color w:val="auto"/>
                <w:kern w:val="0"/>
                <w:sz w:val="28"/>
                <w:szCs w:val="28"/>
                <w:highlight w:val="none"/>
              </w:rPr>
            </w:pPr>
          </w:p>
        </w:tc>
      </w:tr>
      <w:tr w14:paraId="77F55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9" w:hRule="atLeast"/>
        </w:trPr>
        <w:tc>
          <w:tcPr>
            <w:tcW w:w="2235" w:type="dxa"/>
            <w:vAlign w:val="center"/>
          </w:tcPr>
          <w:p w14:paraId="5A470553">
            <w:pPr>
              <w:spacing w:line="360" w:lineRule="auto"/>
              <w:rPr>
                <w:rFonts w:ascii="宋体" w:hAnsi="宋体" w:cs="Times New Roman"/>
                <w:b/>
                <w:color w:val="auto"/>
                <w:kern w:val="0"/>
                <w:sz w:val="24"/>
                <w:szCs w:val="24"/>
                <w:highlight w:val="none"/>
              </w:rPr>
            </w:pPr>
            <w:r>
              <w:rPr>
                <w:rFonts w:hint="eastAsia" w:ascii="宋体" w:hAnsi="宋体" w:cs="Times New Roman"/>
                <w:b/>
                <w:color w:val="auto"/>
                <w:kern w:val="0"/>
                <w:sz w:val="24"/>
                <w:szCs w:val="24"/>
                <w:highlight w:val="none"/>
              </w:rPr>
              <w:t>竞租人确认</w:t>
            </w:r>
          </w:p>
        </w:tc>
        <w:tc>
          <w:tcPr>
            <w:tcW w:w="6662" w:type="dxa"/>
          </w:tcPr>
          <w:p w14:paraId="76EAA1DA">
            <w:pPr>
              <w:spacing w:line="360" w:lineRule="auto"/>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（竞租人盖章、签名手印）</w:t>
            </w:r>
          </w:p>
          <w:p w14:paraId="2BB28107">
            <w:pPr>
              <w:spacing w:line="360" w:lineRule="auto"/>
              <w:rPr>
                <w:rFonts w:ascii="仿宋" w:hAnsi="仿宋" w:eastAsia="仿宋" w:cs="Times New Roman"/>
                <w:color w:val="auto"/>
                <w:kern w:val="0"/>
                <w:sz w:val="24"/>
                <w:szCs w:val="24"/>
                <w:highlight w:val="none"/>
              </w:rPr>
            </w:pPr>
          </w:p>
          <w:p w14:paraId="4946B7CC">
            <w:pPr>
              <w:spacing w:line="360" w:lineRule="auto"/>
              <w:rPr>
                <w:rFonts w:ascii="仿宋" w:hAnsi="仿宋" w:eastAsia="仿宋" w:cs="Times New Roman"/>
                <w:color w:val="auto"/>
                <w:kern w:val="0"/>
                <w:sz w:val="24"/>
                <w:szCs w:val="24"/>
                <w:highlight w:val="none"/>
              </w:rPr>
            </w:pPr>
          </w:p>
          <w:p w14:paraId="184AA171">
            <w:pPr>
              <w:spacing w:line="360" w:lineRule="auto"/>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 xml:space="preserve"> </w:t>
            </w:r>
          </w:p>
          <w:p w14:paraId="33BE17AA">
            <w:pPr>
              <w:spacing w:line="360" w:lineRule="auto"/>
              <w:jc w:val="right"/>
              <w:rPr>
                <w:rFonts w:ascii="仿宋" w:hAnsi="仿宋" w:eastAsia="仿宋" w:cs="Times New Roman"/>
                <w:b/>
                <w:color w:val="auto"/>
                <w:kern w:val="0"/>
                <w:sz w:val="28"/>
                <w:szCs w:val="28"/>
                <w:highlight w:val="none"/>
              </w:rPr>
            </w:pPr>
            <w:r>
              <w:rPr>
                <w:rFonts w:hint="eastAsia" w:ascii="仿宋" w:hAnsi="仿宋" w:eastAsia="仿宋" w:cs="Times New Roman"/>
                <w:color w:val="auto"/>
                <w:kern w:val="0"/>
                <w:sz w:val="24"/>
                <w:szCs w:val="24"/>
                <w:highlight w:val="none"/>
              </w:rPr>
              <w:t>202</w:t>
            </w:r>
            <w:r>
              <w:rPr>
                <w:rFonts w:hint="eastAsia" w:ascii="仿宋" w:hAnsi="仿宋" w:eastAsia="仿宋" w:cs="Times New Roman"/>
                <w:color w:val="auto"/>
                <w:kern w:val="0"/>
                <w:sz w:val="24"/>
                <w:szCs w:val="24"/>
                <w:highlight w:val="none"/>
                <w:lang w:val="en-US" w:eastAsia="zh-CN"/>
              </w:rPr>
              <w:t>5</w:t>
            </w:r>
            <w:r>
              <w:rPr>
                <w:rFonts w:hint="eastAsia" w:ascii="仿宋" w:hAnsi="仿宋" w:eastAsia="仿宋" w:cs="Times New Roman"/>
                <w:color w:val="auto"/>
                <w:kern w:val="0"/>
                <w:sz w:val="24"/>
                <w:szCs w:val="24"/>
                <w:highlight w:val="none"/>
              </w:rPr>
              <w:t>年   月   日</w:t>
            </w:r>
          </w:p>
        </w:tc>
      </w:tr>
    </w:tbl>
    <w:p w14:paraId="06D4C661">
      <w:pPr>
        <w:rPr>
          <w:rFonts w:ascii="仿宋" w:hAnsi="仿宋" w:eastAsia="仿宋"/>
          <w:b/>
          <w:color w:val="auto"/>
          <w:sz w:val="28"/>
          <w:szCs w:val="28"/>
          <w:highlight w:val="none"/>
          <w:u w:val="single"/>
        </w:rPr>
      </w:pPr>
    </w:p>
    <w:p w14:paraId="7AA3D25A">
      <w:pPr>
        <w:rPr>
          <w:rFonts w:ascii="仿宋" w:hAnsi="仿宋" w:eastAsia="仿宋"/>
          <w:b/>
          <w:color w:val="auto"/>
          <w:sz w:val="28"/>
          <w:szCs w:val="28"/>
          <w:highlight w:val="none"/>
          <w:u w:val="single"/>
        </w:rPr>
      </w:pPr>
    </w:p>
    <w:p w14:paraId="4944FE00">
      <w:pPr>
        <w:rPr>
          <w:rFonts w:ascii="仿宋" w:hAnsi="仿宋" w:eastAsia="仿宋"/>
          <w:b/>
          <w:color w:val="auto"/>
          <w:sz w:val="28"/>
          <w:szCs w:val="28"/>
          <w:highlight w:val="none"/>
          <w:u w:val="single"/>
        </w:rPr>
      </w:pPr>
    </w:p>
    <w:p w14:paraId="6A86710D">
      <w:pPr>
        <w:rPr>
          <w:rFonts w:ascii="幼圆" w:hAnsi="宋体" w:eastAsia="幼圆"/>
          <w:b/>
          <w:color w:val="auto"/>
          <w:sz w:val="28"/>
          <w:szCs w:val="28"/>
          <w:highlight w:val="none"/>
        </w:rPr>
      </w:pPr>
      <w:r>
        <w:rPr>
          <w:rFonts w:hint="eastAsia" w:ascii="幼圆" w:hAnsi="宋体" w:eastAsia="幼圆"/>
          <w:b/>
          <w:color w:val="auto"/>
          <w:sz w:val="28"/>
          <w:szCs w:val="28"/>
          <w:highlight w:val="none"/>
        </w:rPr>
        <w:t>附件4：声明书</w:t>
      </w:r>
    </w:p>
    <w:p w14:paraId="484CBABD">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声明书</w:t>
      </w:r>
    </w:p>
    <w:p w14:paraId="2FC337F3">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在此声明：就此前的本人与盐城市灌东盐场发展有限公司、盐城市新滩盐场实业发展有限公司</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新昇水产公司之间的池塘/水库的所有租赁合同或承包合同，本人承诺不再向盐城市灌东盐场发展有限公司、盐城市新滩盐场实业发展有限公司、新昇水产公司提出任何主张和要求，本人和盐城市灌东盐场发展有限公司、盐城市新滩盐场实业发展有限公司、新昇水产公司之间的所有争议和纠纷全部处理完毕，双方之间不再有任何争议和纠纷。本人将不会就租赁合同或承包合同的相关遗留争议通过诉讼、仲裁或上访信访等形式向盐城市灌东盐场发展有限公司、盐城市新滩盐场实业发展有限公司、新昇水产公司提出任何赔偿或补偿要求。</w:t>
      </w:r>
    </w:p>
    <w:p w14:paraId="54AF82BC">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本人承诺，本声明不得撤销、不得变更、不得违背，声明内容在任何情况下均永久有效。</w:t>
      </w:r>
    </w:p>
    <w:p w14:paraId="35DC4560">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特此声明。</w:t>
      </w:r>
    </w:p>
    <w:p w14:paraId="1010DD9E">
      <w:pPr>
        <w:spacing w:line="560" w:lineRule="exact"/>
        <w:ind w:firstLine="4393" w:firstLineChars="1569"/>
        <w:rPr>
          <w:rFonts w:ascii="仿宋" w:hAnsi="仿宋" w:eastAsia="仿宋"/>
          <w:color w:val="auto"/>
          <w:sz w:val="28"/>
          <w:szCs w:val="28"/>
          <w:highlight w:val="none"/>
        </w:rPr>
      </w:pPr>
    </w:p>
    <w:p w14:paraId="4F0CF1C1">
      <w:pPr>
        <w:spacing w:line="560" w:lineRule="exact"/>
        <w:ind w:firstLine="4393" w:firstLineChars="1569"/>
        <w:rPr>
          <w:rFonts w:ascii="仿宋" w:hAnsi="仿宋" w:eastAsia="仿宋"/>
          <w:color w:val="auto"/>
          <w:sz w:val="28"/>
          <w:szCs w:val="28"/>
          <w:highlight w:val="none"/>
        </w:rPr>
      </w:pPr>
      <w:r>
        <w:rPr>
          <w:rFonts w:hint="eastAsia" w:ascii="仿宋" w:hAnsi="仿宋" w:eastAsia="仿宋"/>
          <w:color w:val="auto"/>
          <w:sz w:val="28"/>
          <w:szCs w:val="28"/>
          <w:highlight w:val="none"/>
        </w:rPr>
        <w:t>声明人（盖章、签名手印）：</w:t>
      </w:r>
    </w:p>
    <w:p w14:paraId="39F6248C">
      <w:pPr>
        <w:spacing w:line="560" w:lineRule="exact"/>
        <w:ind w:firstLine="4393" w:firstLineChars="1569"/>
        <w:rPr>
          <w:rFonts w:ascii="仿宋" w:hAnsi="仿宋" w:eastAsia="仿宋"/>
          <w:color w:val="auto"/>
          <w:sz w:val="28"/>
          <w:szCs w:val="28"/>
          <w:highlight w:val="none"/>
        </w:rPr>
      </w:pPr>
    </w:p>
    <w:p w14:paraId="3590B910">
      <w:pPr>
        <w:spacing w:line="560" w:lineRule="exact"/>
        <w:ind w:firstLine="4670" w:firstLineChars="1668"/>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二〇二</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7A311DEB">
      <w:pPr>
        <w:spacing w:line="560" w:lineRule="exact"/>
        <w:ind w:firstLine="4670" w:firstLineChars="1668"/>
        <w:rPr>
          <w:rFonts w:hint="eastAsia" w:ascii="仿宋" w:hAnsi="仿宋" w:eastAsia="仿宋"/>
          <w:color w:val="auto"/>
          <w:sz w:val="28"/>
          <w:szCs w:val="28"/>
          <w:highlight w:val="none"/>
        </w:rPr>
      </w:pPr>
    </w:p>
    <w:p w14:paraId="7B0CDD0C">
      <w:pPr>
        <w:spacing w:line="560" w:lineRule="exact"/>
        <w:ind w:firstLine="4670" w:firstLineChars="1668"/>
        <w:rPr>
          <w:rFonts w:hint="eastAsia" w:ascii="仿宋" w:hAnsi="仿宋" w:eastAsia="仿宋"/>
          <w:color w:val="auto"/>
          <w:sz w:val="28"/>
          <w:szCs w:val="28"/>
          <w:highlight w:val="none"/>
        </w:rPr>
      </w:pPr>
    </w:p>
    <w:p w14:paraId="66A80730">
      <w:pPr>
        <w:rPr>
          <w:rFonts w:ascii="宋体" w:hAnsi="宋体"/>
          <w:b/>
          <w:color w:val="auto"/>
          <w:sz w:val="28"/>
          <w:szCs w:val="28"/>
          <w:highlight w:val="none"/>
        </w:rPr>
      </w:pPr>
    </w:p>
    <w:p w14:paraId="3F42FB4C">
      <w:pPr>
        <w:rPr>
          <w:rFonts w:ascii="宋体" w:hAnsi="宋体"/>
          <w:b/>
          <w:color w:val="auto"/>
          <w:sz w:val="28"/>
          <w:szCs w:val="28"/>
          <w:highlight w:val="none"/>
        </w:rPr>
      </w:pPr>
    </w:p>
    <w:p w14:paraId="10BC0520">
      <w:pPr>
        <w:rPr>
          <w:rFonts w:ascii="宋体" w:hAnsi="宋体"/>
          <w:b/>
          <w:color w:val="auto"/>
          <w:sz w:val="28"/>
          <w:szCs w:val="28"/>
          <w:highlight w:val="none"/>
        </w:rPr>
      </w:pPr>
    </w:p>
    <w:p w14:paraId="5B0332F7">
      <w:pPr>
        <w:rPr>
          <w:rFonts w:ascii="宋体" w:cs="宋体"/>
          <w:b/>
          <w:color w:val="auto"/>
          <w:sz w:val="28"/>
          <w:szCs w:val="28"/>
          <w:highlight w:val="none"/>
        </w:rPr>
      </w:pPr>
      <w:r>
        <w:rPr>
          <w:rFonts w:ascii="幼圆" w:hAnsi="宋体" w:eastAsia="幼圆"/>
          <w:b/>
          <w:color w:val="auto"/>
          <w:sz w:val="28"/>
          <w:szCs w:val="28"/>
          <w:highlight w:val="none"/>
        </w:rPr>
        <w:t>附件</w:t>
      </w:r>
      <w:r>
        <w:rPr>
          <w:rFonts w:hint="eastAsia" w:ascii="幼圆" w:hAnsi="宋体" w:eastAsia="幼圆"/>
          <w:b/>
          <w:color w:val="auto"/>
          <w:sz w:val="28"/>
          <w:szCs w:val="28"/>
          <w:highlight w:val="none"/>
        </w:rPr>
        <w:t>5：承诺</w:t>
      </w:r>
      <w:r>
        <w:rPr>
          <w:rFonts w:hint="eastAsia" w:ascii="宋体" w:hAnsi="宋体" w:cs="宋体"/>
          <w:b/>
          <w:color w:val="auto"/>
          <w:sz w:val="28"/>
          <w:szCs w:val="28"/>
          <w:highlight w:val="none"/>
        </w:rPr>
        <w:t>书</w:t>
      </w:r>
    </w:p>
    <w:p w14:paraId="79B9BF33">
      <w:pPr>
        <w:jc w:val="center"/>
        <w:rPr>
          <w:rFonts w:ascii="宋体" w:cs="宋体"/>
          <w:b/>
          <w:color w:val="auto"/>
          <w:sz w:val="28"/>
          <w:szCs w:val="28"/>
          <w:highlight w:val="none"/>
        </w:rPr>
      </w:pPr>
      <w:r>
        <w:rPr>
          <w:rFonts w:hint="eastAsia" w:ascii="宋体" w:hAnsi="宋体" w:cs="宋体"/>
          <w:b/>
          <w:color w:val="auto"/>
          <w:sz w:val="28"/>
          <w:szCs w:val="28"/>
          <w:highlight w:val="none"/>
        </w:rPr>
        <w:t>承诺书</w:t>
      </w:r>
    </w:p>
    <w:p w14:paraId="0E08BBD4">
      <w:pPr>
        <w:spacing w:line="520" w:lineRule="exact"/>
        <w:ind w:firstLine="565" w:firstLineChars="202"/>
        <w:rPr>
          <w:rFonts w:hint="eastAsia" w:ascii="仿宋" w:hAnsi="仿宋" w:eastAsia="仿宋"/>
          <w:color w:val="auto"/>
          <w:sz w:val="28"/>
          <w:szCs w:val="28"/>
          <w:highlight w:val="none"/>
        </w:rPr>
      </w:pPr>
    </w:p>
    <w:p w14:paraId="1E580C85">
      <w:pPr>
        <w:spacing w:line="52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竞租人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在此郑重承诺：就池塘租期届满</w:t>
      </w:r>
      <w:r>
        <w:rPr>
          <w:rFonts w:hint="eastAsia" w:ascii="仿宋" w:hAnsi="仿宋" w:eastAsia="仿宋"/>
          <w:color w:val="auto"/>
          <w:sz w:val="28"/>
          <w:szCs w:val="28"/>
          <w:highlight w:val="none"/>
          <w:lang w:val="en-US" w:eastAsia="zh-CN"/>
        </w:rPr>
        <w:t>前或租期内合同解除后二十日内</w:t>
      </w:r>
      <w:r>
        <w:rPr>
          <w:rFonts w:hint="eastAsia" w:ascii="仿宋" w:hAnsi="仿宋" w:eastAsia="仿宋"/>
          <w:color w:val="auto"/>
          <w:sz w:val="28"/>
          <w:szCs w:val="28"/>
          <w:highlight w:val="none"/>
        </w:rPr>
        <w:t>向招租人无条件、无补偿、无赔偿</w:t>
      </w:r>
      <w:r>
        <w:rPr>
          <w:rFonts w:hint="eastAsia" w:ascii="仿宋" w:hAnsi="仿宋" w:eastAsia="仿宋"/>
          <w:color w:val="auto"/>
          <w:sz w:val="28"/>
          <w:szCs w:val="28"/>
          <w:highlight w:val="none"/>
          <w:lang w:val="en-US" w:eastAsia="zh-CN"/>
        </w:rPr>
        <w:t>地</w:t>
      </w:r>
      <w:r>
        <w:rPr>
          <w:rFonts w:hint="eastAsia" w:ascii="仿宋" w:hAnsi="仿宋" w:eastAsia="仿宋"/>
          <w:color w:val="auto"/>
          <w:sz w:val="28"/>
          <w:szCs w:val="28"/>
          <w:highlight w:val="none"/>
        </w:rPr>
        <w:t>交还土地及池塘，本单位或本人承诺租赁期内严格按招租方案要求和合同约定养殖水产品；不擅自在承租区域内修建永久性建筑等设施；租期届满前清收完所有水产品，自行处置完流动资产，按期向招租人交还池塘及土地。如本单位或本人不能在池塘租期届满</w:t>
      </w:r>
      <w:r>
        <w:rPr>
          <w:rFonts w:hint="eastAsia" w:ascii="仿宋" w:hAnsi="仿宋" w:eastAsia="仿宋"/>
          <w:color w:val="auto"/>
          <w:sz w:val="28"/>
          <w:szCs w:val="28"/>
          <w:highlight w:val="none"/>
          <w:lang w:val="en-US" w:eastAsia="zh-CN"/>
        </w:rPr>
        <w:t>前或租期内合同解除后二十日内</w:t>
      </w:r>
      <w:r>
        <w:rPr>
          <w:rFonts w:hint="eastAsia" w:ascii="仿宋" w:hAnsi="仿宋" w:eastAsia="仿宋"/>
          <w:color w:val="auto"/>
          <w:sz w:val="28"/>
          <w:szCs w:val="28"/>
          <w:highlight w:val="none"/>
        </w:rPr>
        <w:t>交还招租人池塘及土地，招租人可在任何时候采取强制排水、强制扒堆等一切措施收回池塘及土地，由此所造成的一切经济损失和法律责任都由本单位或本人自行承担，与招租人无关，本单位或本人绝无异议。同时，本人认可本次招租的池塘土地及其水、电、路等设施是以现状为准进行招租，在本次租赁期间，招租人不再对土地及其设施进行修缮或添置等投入。如我方需对土地进行改造的，所需改造费用由本单位或本人自行承担，租期届满时绝不向招租人提出任何改造费用的补偿或赔偿要求。本单位或本人若违反上述承诺中的一条或多条的，本单位或本人自愿向招租人支付</w:t>
      </w:r>
      <w:r>
        <w:rPr>
          <w:rFonts w:ascii="仿宋" w:hAnsi="仿宋" w:eastAsia="仿宋"/>
          <w:color w:val="auto"/>
          <w:sz w:val="28"/>
          <w:szCs w:val="28"/>
          <w:highlight w:val="none"/>
        </w:rPr>
        <w:t>50</w:t>
      </w:r>
      <w:r>
        <w:rPr>
          <w:rFonts w:hint="eastAsia" w:ascii="仿宋" w:hAnsi="仿宋" w:eastAsia="仿宋"/>
          <w:color w:val="auto"/>
          <w:sz w:val="28"/>
          <w:szCs w:val="28"/>
          <w:highlight w:val="none"/>
        </w:rPr>
        <w:t>万元的惩罚性违约金。</w:t>
      </w:r>
    </w:p>
    <w:p w14:paraId="545CC1C8">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特此承诺。</w:t>
      </w:r>
    </w:p>
    <w:p w14:paraId="07865795">
      <w:pPr>
        <w:ind w:firstLine="560" w:firstLineChars="200"/>
        <w:rPr>
          <w:rFonts w:ascii="仿宋" w:hAnsi="仿宋" w:eastAsia="仿宋"/>
          <w:color w:val="auto"/>
          <w:sz w:val="28"/>
          <w:szCs w:val="28"/>
          <w:highlight w:val="none"/>
        </w:rPr>
      </w:pPr>
    </w:p>
    <w:p w14:paraId="035CFCD0">
      <w:pPr>
        <w:spacing w:line="560" w:lineRule="exact"/>
        <w:ind w:firstLine="4393" w:firstLineChars="1569"/>
        <w:rPr>
          <w:rFonts w:ascii="仿宋" w:hAnsi="仿宋" w:eastAsia="仿宋"/>
          <w:color w:val="auto"/>
          <w:sz w:val="28"/>
          <w:szCs w:val="28"/>
          <w:highlight w:val="none"/>
        </w:rPr>
      </w:pPr>
      <w:r>
        <w:rPr>
          <w:rFonts w:hint="eastAsia" w:ascii="仿宋" w:hAnsi="仿宋" w:eastAsia="仿宋"/>
          <w:color w:val="auto"/>
          <w:sz w:val="28"/>
          <w:szCs w:val="28"/>
          <w:highlight w:val="none"/>
        </w:rPr>
        <w:t>承诺人（盖章、签名手印）：</w:t>
      </w:r>
    </w:p>
    <w:p w14:paraId="14B36E53">
      <w:pPr>
        <w:spacing w:line="560" w:lineRule="exact"/>
        <w:ind w:firstLine="4393" w:firstLineChars="1569"/>
        <w:rPr>
          <w:rFonts w:ascii="仿宋" w:hAnsi="仿宋" w:eastAsia="仿宋"/>
          <w:color w:val="auto"/>
          <w:sz w:val="28"/>
          <w:szCs w:val="28"/>
          <w:highlight w:val="none"/>
        </w:rPr>
      </w:pPr>
    </w:p>
    <w:p w14:paraId="79D399B7">
      <w:pPr>
        <w:spacing w:line="560" w:lineRule="exact"/>
        <w:ind w:firstLine="4393" w:firstLineChars="1569"/>
        <w:rPr>
          <w:rFonts w:ascii="仿宋" w:hAnsi="仿宋" w:eastAsia="仿宋"/>
          <w:color w:val="auto"/>
          <w:sz w:val="28"/>
          <w:szCs w:val="28"/>
          <w:highlight w:val="none"/>
        </w:rPr>
      </w:pPr>
      <w:r>
        <w:rPr>
          <w:rFonts w:hint="eastAsia" w:ascii="仿宋" w:hAnsi="仿宋" w:eastAsia="仿宋"/>
          <w:color w:val="auto"/>
          <w:sz w:val="28"/>
          <w:szCs w:val="28"/>
          <w:highlight w:val="none"/>
        </w:rPr>
        <w:t>二〇二</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1FB017F7">
      <w:pPr>
        <w:rPr>
          <w:rFonts w:hint="eastAsia" w:ascii="幼圆" w:hAnsi="宋体" w:eastAsia="幼圆"/>
          <w:b/>
          <w:color w:val="auto"/>
          <w:sz w:val="28"/>
          <w:szCs w:val="28"/>
          <w:highlight w:val="none"/>
        </w:rPr>
      </w:pPr>
    </w:p>
    <w:p w14:paraId="2A179419">
      <w:pPr>
        <w:rPr>
          <w:rFonts w:hint="eastAsia" w:ascii="幼圆" w:hAnsi="宋体" w:eastAsia="幼圆"/>
          <w:b/>
          <w:color w:val="auto"/>
          <w:sz w:val="28"/>
          <w:szCs w:val="28"/>
          <w:highlight w:val="none"/>
        </w:rPr>
      </w:pPr>
    </w:p>
    <w:p w14:paraId="0C582EC3">
      <w:pPr>
        <w:rPr>
          <w:rFonts w:ascii="幼圆" w:hAnsi="宋体" w:eastAsia="幼圆"/>
          <w:b/>
          <w:color w:val="auto"/>
          <w:sz w:val="28"/>
          <w:szCs w:val="28"/>
          <w:highlight w:val="none"/>
        </w:rPr>
      </w:pPr>
      <w:r>
        <w:rPr>
          <w:rFonts w:hint="eastAsia" w:ascii="幼圆" w:hAnsi="宋体" w:eastAsia="幼圆"/>
          <w:b/>
          <w:color w:val="auto"/>
          <w:sz w:val="28"/>
          <w:szCs w:val="28"/>
          <w:highlight w:val="none"/>
        </w:rPr>
        <w:t>附件6：池塘租赁合同</w:t>
      </w:r>
    </w:p>
    <w:p w14:paraId="56FBD946">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池塘租赁合同</w:t>
      </w:r>
    </w:p>
    <w:p w14:paraId="0C85EDFD">
      <w:pPr>
        <w:spacing w:line="560" w:lineRule="exact"/>
        <w:ind w:firstLine="565" w:firstLineChars="202"/>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甲方(出租人): </w:t>
      </w:r>
      <w:r>
        <w:rPr>
          <w:rFonts w:hint="eastAsia" w:ascii="仿宋" w:hAnsi="仿宋" w:eastAsia="仿宋"/>
          <w:color w:val="auto"/>
          <w:sz w:val="28"/>
          <w:szCs w:val="28"/>
          <w:highlight w:val="none"/>
          <w:u w:val="single"/>
        </w:rPr>
        <w:t>盐城市灌东盐场发展有限公司</w:t>
      </w:r>
    </w:p>
    <w:p w14:paraId="30E3F941">
      <w:pPr>
        <w:spacing w:line="56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乙方(承租人):</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u w:val="single"/>
        </w:rPr>
        <w:t xml:space="preserve">                           </w:t>
      </w:r>
    </w:p>
    <w:p w14:paraId="7D0F8070">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为充分利用土地资源，发展壮大甲方养殖业，本着互惠互利、共同发展原则，根据我国《民法典》等法律规定和经</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公开竞租池塘的评审结果，经甲乙双方协商，就乙方中标的养殖池塘签订本租赁合同。</w:t>
      </w:r>
    </w:p>
    <w:p w14:paraId="06154EE7">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一、租赁物的概况</w:t>
      </w:r>
    </w:p>
    <w:p w14:paraId="1E879FD9">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租赁物1:位于</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内的</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养殖池塘(共</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块塘),实际租赁面积为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亩。养殖产品为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 </w:t>
      </w:r>
    </w:p>
    <w:p w14:paraId="424BE7F7">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租赁物2:位于</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内的</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养殖池塘(共</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块塘),实际租赁面积为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亩。养殖产品为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 </w:t>
      </w:r>
    </w:p>
    <w:p w14:paraId="754ECE2C">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上述租赁面积合计</w:t>
      </w:r>
      <w:r>
        <w:rPr>
          <w:rFonts w:hint="eastAsia" w:ascii="仿宋" w:hAnsi="仿宋" w:eastAsia="仿宋"/>
          <w:color w:val="auto"/>
          <w:sz w:val="28"/>
          <w:szCs w:val="28"/>
          <w:highlight w:val="none"/>
          <w:u w:val="single"/>
          <w:shd w:val="pct10" w:color="auto" w:fill="FFFFFF"/>
        </w:rPr>
        <w:t xml:space="preserve">         </w:t>
      </w:r>
      <w:r>
        <w:rPr>
          <w:rFonts w:hint="eastAsia" w:ascii="仿宋" w:hAnsi="仿宋" w:eastAsia="仿宋"/>
          <w:color w:val="auto"/>
          <w:sz w:val="28"/>
          <w:szCs w:val="28"/>
          <w:highlight w:val="none"/>
        </w:rPr>
        <w:t>亩，业经双方确认无误，以后任何一方不得再就租赁面积问题提出异议（双方另有约定的除外）。上述池塘均以现状出租，在租赁期间，甲方不再就池塘及其附属设施的维护、修缮等进行资金投入。如承租人需对土地及其设施进行改造或添置的，所需改造费用由承租人自行承担，租期届满时，承租人对土地及其设施进行改造或添置而形成的资产无偿转归招租人所有，招租人不予任何补偿。如因承租人以土地或设施等费用补偿问题为由拒绝或拖延交还到期土地的，承租人除须向招租人承担合同约定的占用费外，还须向招租人支付惩罚性违约金人民币</w:t>
      </w:r>
      <w:r>
        <w:rPr>
          <w:rFonts w:ascii="仿宋" w:hAnsi="仿宋" w:eastAsia="仿宋"/>
          <w:color w:val="auto"/>
          <w:sz w:val="28"/>
          <w:szCs w:val="28"/>
          <w:highlight w:val="none"/>
        </w:rPr>
        <w:t>50</w:t>
      </w:r>
      <w:r>
        <w:rPr>
          <w:rFonts w:hint="eastAsia" w:ascii="仿宋" w:hAnsi="仿宋" w:eastAsia="仿宋"/>
          <w:color w:val="auto"/>
          <w:sz w:val="28"/>
          <w:szCs w:val="28"/>
          <w:highlight w:val="none"/>
        </w:rPr>
        <w:t>万元。</w:t>
      </w:r>
    </w:p>
    <w:p w14:paraId="119DEB42">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在本合同签署后，乙方应及时自行进驻池塘并开展养殖活动，双方签署上述池塘及其设施的交接手续，双方对此均无异议。</w:t>
      </w:r>
    </w:p>
    <w:p w14:paraId="72647374">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二、租赁用途</w:t>
      </w:r>
    </w:p>
    <w:p w14:paraId="03A63B53">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租赁池塘只能从事</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养殖，乙方不得从事大棚虾（暖棚养殖）、牛蛙、舌鳎等高密度养殖及其他行业生产。对于本次招租的海淡水养殖池塘，租期为一年，承租人不得放养生长周期超过一年的鱼虾、贝类等水产品</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否则由此造成的一切责任和损失均由乙方自行承担</w:t>
      </w:r>
      <w:r>
        <w:rPr>
          <w:rFonts w:hint="eastAsia" w:ascii="仿宋" w:hAnsi="仿宋" w:eastAsia="仿宋"/>
          <w:color w:val="auto"/>
          <w:sz w:val="28"/>
          <w:szCs w:val="28"/>
          <w:highlight w:val="none"/>
        </w:rPr>
        <w:t>。</w:t>
      </w:r>
    </w:p>
    <w:p w14:paraId="63726745">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三、租赁期限</w:t>
      </w:r>
    </w:p>
    <w:p w14:paraId="12CAE90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本合同租赁期限为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个月，即租期自20</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日起至20</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日止（如果原承租人尚未交还池塘的，待甲方收回池塘后再行交付给乙方使用，</w:t>
      </w:r>
      <w:r>
        <w:rPr>
          <w:rFonts w:hint="eastAsia" w:ascii="仿宋" w:hAnsi="仿宋" w:eastAsia="仿宋"/>
          <w:color w:val="auto"/>
          <w:sz w:val="28"/>
          <w:szCs w:val="28"/>
          <w:highlight w:val="none"/>
          <w:lang w:val="en-US" w:eastAsia="zh-CN"/>
        </w:rPr>
        <w:t>甲方按乙方实际收塘时间计算并收取租金；在建光伏项目下池塘，甲方预收乙方按招租底价计算的三年租金，待光伏项目完工且具备交付鱼塘条件后，再行交付乙方使用，甲方按乙方实际收塘时间计算并收取租金</w:t>
      </w:r>
      <w:r>
        <w:rPr>
          <w:rFonts w:hint="eastAsia" w:ascii="仿宋" w:hAnsi="仿宋" w:eastAsia="仿宋"/>
          <w:color w:val="auto"/>
          <w:sz w:val="28"/>
          <w:szCs w:val="28"/>
          <w:highlight w:val="none"/>
        </w:rPr>
        <w:t>）。</w:t>
      </w:r>
    </w:p>
    <w:p w14:paraId="11F61DEC">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四、租赁费用及履约保证金</w:t>
      </w:r>
    </w:p>
    <w:p w14:paraId="1347983C">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1.租金标准为人民币</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元/亩/年(固定单价、含税价)；</w:t>
      </w:r>
    </w:p>
    <w:p w14:paraId="2FD2A4FA">
      <w:pPr>
        <w:spacing w:line="560" w:lineRule="exact"/>
        <w:ind w:firstLine="565" w:firstLineChars="202"/>
        <w:jc w:val="left"/>
        <w:rPr>
          <w:rFonts w:ascii="仿宋" w:hAnsi="仿宋" w:eastAsia="仿宋"/>
          <w:b/>
          <w:color w:val="auto"/>
          <w:sz w:val="24"/>
          <w:szCs w:val="24"/>
          <w:highlight w:val="none"/>
        </w:rPr>
      </w:pPr>
      <w:r>
        <w:rPr>
          <w:rFonts w:hint="eastAsia" w:ascii="仿宋" w:hAnsi="仿宋" w:eastAsia="仿宋"/>
          <w:color w:val="auto"/>
          <w:sz w:val="28"/>
          <w:szCs w:val="28"/>
          <w:highlight w:val="none"/>
        </w:rPr>
        <w:t xml:space="preserve">2.租金缴纳：本租赁合同采用“先付后用”原则，租金及其支付时间如下表：                       </w:t>
      </w:r>
      <w:r>
        <w:rPr>
          <w:rFonts w:hint="eastAsia" w:ascii="仿宋" w:hAnsi="仿宋" w:eastAsia="仿宋"/>
          <w:b/>
          <w:color w:val="auto"/>
          <w:sz w:val="24"/>
          <w:szCs w:val="24"/>
          <w:highlight w:val="none"/>
        </w:rPr>
        <w:t xml:space="preserve">  (租金单位：人民币元)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4172"/>
        <w:gridCol w:w="1700"/>
        <w:gridCol w:w="2472"/>
      </w:tblGrid>
      <w:tr w14:paraId="54D0D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07" w:type="dxa"/>
            <w:vAlign w:val="center"/>
          </w:tcPr>
          <w:p w14:paraId="0CA88193">
            <w:pPr>
              <w:spacing w:line="560" w:lineRule="exact"/>
              <w:jc w:val="center"/>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序</w:t>
            </w:r>
          </w:p>
        </w:tc>
        <w:tc>
          <w:tcPr>
            <w:tcW w:w="4172" w:type="dxa"/>
            <w:vAlign w:val="center"/>
          </w:tcPr>
          <w:p w14:paraId="3DE80DFC">
            <w:pPr>
              <w:spacing w:line="560" w:lineRule="exact"/>
              <w:jc w:val="center"/>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缴纳租金的租期时段</w:t>
            </w:r>
          </w:p>
        </w:tc>
        <w:tc>
          <w:tcPr>
            <w:tcW w:w="1700" w:type="dxa"/>
            <w:vAlign w:val="center"/>
          </w:tcPr>
          <w:p w14:paraId="4DA8C53C">
            <w:pPr>
              <w:spacing w:line="560" w:lineRule="exact"/>
              <w:jc w:val="center"/>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当期租金金额</w:t>
            </w:r>
          </w:p>
        </w:tc>
        <w:tc>
          <w:tcPr>
            <w:tcW w:w="2472" w:type="dxa"/>
            <w:vAlign w:val="center"/>
          </w:tcPr>
          <w:p w14:paraId="2EF28C94">
            <w:pPr>
              <w:spacing w:line="560" w:lineRule="exact"/>
              <w:jc w:val="center"/>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租金缴纳时限</w:t>
            </w:r>
          </w:p>
        </w:tc>
      </w:tr>
      <w:tr w14:paraId="3D55B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Align w:val="center"/>
          </w:tcPr>
          <w:p w14:paraId="41C6DFFF">
            <w:pPr>
              <w:spacing w:line="560" w:lineRule="exact"/>
              <w:jc w:val="center"/>
              <w:rPr>
                <w:rFonts w:ascii="仿宋" w:hAnsi="仿宋" w:eastAsia="仿宋" w:cs="Times New Roman"/>
                <w:color w:val="auto"/>
                <w:kern w:val="0"/>
                <w:sz w:val="24"/>
                <w:szCs w:val="24"/>
                <w:highlight w:val="none"/>
              </w:rPr>
            </w:pPr>
            <w:r>
              <w:rPr>
                <w:rFonts w:hint="eastAsia" w:ascii="仿宋" w:hAnsi="仿宋" w:eastAsia="仿宋" w:cs="Times New Roman"/>
                <w:color w:val="auto"/>
                <w:kern w:val="0"/>
                <w:sz w:val="24"/>
                <w:szCs w:val="24"/>
                <w:highlight w:val="none"/>
              </w:rPr>
              <w:t>1</w:t>
            </w:r>
          </w:p>
        </w:tc>
        <w:tc>
          <w:tcPr>
            <w:tcW w:w="4172" w:type="dxa"/>
            <w:vAlign w:val="center"/>
          </w:tcPr>
          <w:p w14:paraId="351F27DC">
            <w:pPr>
              <w:spacing w:line="560" w:lineRule="exact"/>
              <w:jc w:val="center"/>
              <w:rPr>
                <w:rFonts w:ascii="仿宋" w:hAnsi="仿宋" w:eastAsia="仿宋" w:cs="Times New Roman"/>
                <w:color w:val="auto"/>
                <w:kern w:val="0"/>
                <w:sz w:val="24"/>
                <w:szCs w:val="24"/>
                <w:highlight w:val="none"/>
                <w:shd w:val="pct10" w:color="auto" w:fill="FFFFFF"/>
              </w:rPr>
            </w:pPr>
            <w:r>
              <w:rPr>
                <w:rFonts w:hint="eastAsia" w:ascii="仿宋" w:hAnsi="仿宋" w:eastAsia="仿宋" w:cs="Times New Roman"/>
                <w:color w:val="auto"/>
                <w:kern w:val="0"/>
                <w:sz w:val="24"/>
                <w:szCs w:val="24"/>
                <w:highlight w:val="none"/>
                <w:shd w:val="pct10" w:color="auto" w:fill="FFFFFF"/>
              </w:rPr>
              <w:t>20  年  月   日-20   年  月   日</w:t>
            </w:r>
          </w:p>
        </w:tc>
        <w:tc>
          <w:tcPr>
            <w:tcW w:w="1700" w:type="dxa"/>
            <w:vAlign w:val="center"/>
          </w:tcPr>
          <w:p w14:paraId="5659F6D0">
            <w:pPr>
              <w:spacing w:line="560" w:lineRule="exact"/>
              <w:jc w:val="center"/>
              <w:rPr>
                <w:rFonts w:ascii="仿宋" w:hAnsi="仿宋" w:eastAsia="仿宋" w:cs="Times New Roman"/>
                <w:color w:val="auto"/>
                <w:kern w:val="0"/>
                <w:sz w:val="24"/>
                <w:szCs w:val="24"/>
                <w:highlight w:val="none"/>
                <w:shd w:val="pct10" w:color="auto" w:fill="FFFFFF"/>
              </w:rPr>
            </w:pPr>
          </w:p>
        </w:tc>
        <w:tc>
          <w:tcPr>
            <w:tcW w:w="2472" w:type="dxa"/>
            <w:vAlign w:val="center"/>
          </w:tcPr>
          <w:p w14:paraId="76CC7C24">
            <w:pPr>
              <w:spacing w:line="560" w:lineRule="exact"/>
              <w:jc w:val="center"/>
              <w:rPr>
                <w:rFonts w:ascii="仿宋" w:hAnsi="仿宋" w:eastAsia="仿宋" w:cs="Times New Roman"/>
                <w:color w:val="auto"/>
                <w:kern w:val="0"/>
                <w:sz w:val="24"/>
                <w:szCs w:val="24"/>
                <w:highlight w:val="none"/>
                <w:shd w:val="pct10" w:color="auto" w:fill="FFFFFF"/>
              </w:rPr>
            </w:pPr>
            <w:r>
              <w:rPr>
                <w:rFonts w:hint="eastAsia" w:ascii="仿宋" w:hAnsi="仿宋" w:eastAsia="仿宋" w:cs="Times New Roman"/>
                <w:color w:val="auto"/>
                <w:kern w:val="0"/>
                <w:sz w:val="24"/>
                <w:szCs w:val="24"/>
                <w:highlight w:val="none"/>
                <w:shd w:val="pct10" w:color="auto" w:fill="FFFFFF"/>
              </w:rPr>
              <w:t>双方签署中标确认书后7日内付清</w:t>
            </w:r>
          </w:p>
        </w:tc>
      </w:tr>
    </w:tbl>
    <w:p w14:paraId="4E08820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乙方必须按照上表中所列租期金额和缴纳时限按时足额缴纳租金，且甲方无需对乙方进行租金到期的提醒。乙方缴费迟延或缴费不足的，均视为乙方构成严重违约。乙方出现逾期缴费或缴费不足时，自该缴纳租金的租期时段的起始之日起，本合同自动解除，同时，自该缴纳租金的租期时段的起始之日起至乙方实际交还租赁物之日止期间的占用费标准按照每年每亩</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元人民币计算（不低于年租金标准的</w:t>
      </w:r>
      <w:r>
        <w:rPr>
          <w:rFonts w:hint="eastAsia" w:ascii="仿宋" w:hAnsi="仿宋" w:eastAsia="仿宋"/>
          <w:color w:val="auto"/>
          <w:sz w:val="28"/>
          <w:szCs w:val="28"/>
          <w:highlight w:val="none"/>
          <w:lang w:val="en-US" w:eastAsia="zh-CN"/>
        </w:rPr>
        <w:t>1.3</w:t>
      </w:r>
      <w:r>
        <w:rPr>
          <w:rFonts w:hint="eastAsia" w:ascii="仿宋" w:hAnsi="仿宋" w:eastAsia="仿宋"/>
          <w:color w:val="auto"/>
          <w:sz w:val="28"/>
          <w:szCs w:val="28"/>
          <w:highlight w:val="none"/>
        </w:rPr>
        <w:t>倍）。</w:t>
      </w:r>
    </w:p>
    <w:p w14:paraId="4E015B9E">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3.本合同采用固定单价。如租赁实际面积发生误差的，以本租赁合同记载的面积为准进行租金结算，且甲方对面积误差不承担违约责任。</w:t>
      </w:r>
    </w:p>
    <w:p w14:paraId="0CB66E1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4.履约保证金</w:t>
      </w:r>
    </w:p>
    <w:p w14:paraId="04C72148">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本合同的履约保证金为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元人民币，乙方须在本合同签订之前交清。在本合同租期内，如乙方无违约行为，在租赁期结束或期内合同终止/解除时，由甲方在五个工作日内免息返还履约保证金。因乙方违约致使合同解除或终止的，甲方有权没收乙方履约保证金。</w:t>
      </w:r>
    </w:p>
    <w:p w14:paraId="3F1CE2EE">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5.其他费用</w:t>
      </w:r>
    </w:p>
    <w:p w14:paraId="5BBB7F3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养殖外线扬水电费由甲方承担。养殖二次扬水、三次扬水的电费、生活用水用电等项目按表计量由乙方承担，并由乙方与供水、供电等单位自行联系和结算，与甲方无涉。</w:t>
      </w:r>
    </w:p>
    <w:p w14:paraId="05068E3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五、甲方的权利和义务</w:t>
      </w:r>
    </w:p>
    <w:p w14:paraId="5058C69B">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1.依照合同规定，按期向乙方收取相关租金及其他费用。乙方如不按期缴纳租赁池塘等相关费用的，则按本合同第四条执行。因租期届满，乙方须在租期届满日之前交还租赁物，乙方逾期交还租赁物的，甲方有权没收乙方的全部履约保证金</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并纳入“不受欢迎竞租人名单”</w:t>
      </w:r>
      <w:r>
        <w:rPr>
          <w:rFonts w:hint="eastAsia" w:ascii="仿宋" w:hAnsi="仿宋" w:eastAsia="仿宋"/>
          <w:color w:val="auto"/>
          <w:sz w:val="28"/>
          <w:szCs w:val="28"/>
          <w:highlight w:val="none"/>
        </w:rPr>
        <w:t>。从乙方收到甲方交还租赁物的通知之次日起，甲方有权对租赁物采取断路、停水、停电等措施，由此造成的一切后果和经济损失均由乙方自行承担，甲方在此情况下均不承担任何赔偿或补偿。租期届满后，租赁物由甲方重新对外出租，乙方不得以任何理由迟延交塘或拒绝交塘，不得影响甲方对池塘的重新出租，否则乙方赔偿甲方由此造成的一切损失（包括但不限于租金差价损失以及诉讼费、诉讼保全保险费和律师费等维权费用）。池塘内的水产品自租期届满之日前由乙方自行起捕完毕，逾期则视同乙方放弃租赁物中水产品所有权等权利，滞留在租赁物内的水产品、设施设备等资产由甲方全权处理，且甲方不予任何赔偿或补偿。</w:t>
      </w:r>
    </w:p>
    <w:p w14:paraId="20B561E5">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甲方和光伏发电单位</w:t>
      </w:r>
      <w:r>
        <w:rPr>
          <w:rFonts w:hint="eastAsia" w:ascii="仿宋" w:hAnsi="仿宋" w:eastAsia="仿宋"/>
          <w:color w:val="auto"/>
          <w:sz w:val="28"/>
          <w:szCs w:val="28"/>
          <w:highlight w:val="none"/>
        </w:rPr>
        <w:t>有权对乙方养殖活动进行监督，确保符合光伏电站运维要求；乙方</w:t>
      </w:r>
      <w:r>
        <w:rPr>
          <w:rFonts w:hint="eastAsia" w:ascii="仿宋" w:hAnsi="仿宋" w:eastAsia="仿宋"/>
          <w:color w:val="auto"/>
          <w:sz w:val="28"/>
          <w:szCs w:val="28"/>
          <w:highlight w:val="none"/>
          <w:lang w:val="en-US" w:eastAsia="zh-CN"/>
        </w:rPr>
        <w:t>如</w:t>
      </w:r>
      <w:r>
        <w:rPr>
          <w:rFonts w:hint="eastAsia" w:ascii="仿宋" w:hAnsi="仿宋" w:eastAsia="仿宋"/>
          <w:color w:val="auto"/>
          <w:sz w:val="28"/>
          <w:szCs w:val="28"/>
          <w:highlight w:val="none"/>
        </w:rPr>
        <w:t>需</w:t>
      </w:r>
      <w:r>
        <w:rPr>
          <w:rFonts w:hint="eastAsia" w:ascii="仿宋" w:hAnsi="仿宋" w:eastAsia="仿宋"/>
          <w:color w:val="auto"/>
          <w:sz w:val="28"/>
          <w:szCs w:val="28"/>
          <w:highlight w:val="none"/>
          <w:lang w:val="en-US" w:eastAsia="zh-CN"/>
        </w:rPr>
        <w:t>新建</w:t>
      </w:r>
      <w:r>
        <w:rPr>
          <w:rFonts w:hint="eastAsia" w:ascii="仿宋" w:hAnsi="仿宋" w:eastAsia="仿宋"/>
          <w:color w:val="auto"/>
          <w:sz w:val="28"/>
          <w:szCs w:val="28"/>
          <w:highlight w:val="none"/>
        </w:rPr>
        <w:t>道路、涵闸、池塘堤堆、</w:t>
      </w:r>
      <w:r>
        <w:rPr>
          <w:rFonts w:hint="eastAsia" w:ascii="仿宋" w:hAnsi="仿宋" w:eastAsia="仿宋"/>
          <w:color w:val="auto"/>
          <w:sz w:val="28"/>
          <w:szCs w:val="28"/>
          <w:highlight w:val="none"/>
          <w:lang w:val="en-US" w:eastAsia="zh-CN"/>
        </w:rPr>
        <w:t>塘底、</w:t>
      </w:r>
      <w:r>
        <w:rPr>
          <w:rFonts w:hint="eastAsia" w:ascii="仿宋" w:hAnsi="仿宋" w:eastAsia="仿宋"/>
          <w:color w:val="auto"/>
          <w:sz w:val="28"/>
          <w:szCs w:val="28"/>
          <w:highlight w:val="none"/>
        </w:rPr>
        <w:t>进排水河道、桥梁等设施</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搭建临时用房、架设内部电力设施的</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须经养殖区认可并书面报请甲方安环部，待甲方书面批复同意后方可进行。如因乙方改造或养殖活动导致光伏设备损坏或运维受阻，甲方</w:t>
      </w:r>
      <w:r>
        <w:rPr>
          <w:rFonts w:hint="eastAsia" w:ascii="仿宋" w:hAnsi="仿宋" w:eastAsia="仿宋"/>
          <w:color w:val="auto"/>
          <w:sz w:val="28"/>
          <w:szCs w:val="28"/>
          <w:highlight w:val="none"/>
          <w:lang w:val="en-US" w:eastAsia="zh-CN"/>
        </w:rPr>
        <w:t>和光伏发电单位</w:t>
      </w:r>
      <w:r>
        <w:rPr>
          <w:rFonts w:hint="eastAsia" w:ascii="仿宋" w:hAnsi="仿宋" w:eastAsia="仿宋"/>
          <w:color w:val="auto"/>
          <w:sz w:val="28"/>
          <w:szCs w:val="28"/>
          <w:highlight w:val="none"/>
        </w:rPr>
        <w:t>有权要求乙方限期整改并赔偿损失。</w:t>
      </w:r>
    </w:p>
    <w:p w14:paraId="71AD103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2.协助乙方进行治安管理，营造良好养殖环境。</w:t>
      </w:r>
    </w:p>
    <w:p w14:paraId="581072C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在租赁期间，甲方有权检查、督促乙方保持租赁区域内池塘四周堤堆、与之配套的进排水河道及涵闸、电力线路、自来水管道等设施的完好及安全。如遇甲方、甲方关联单位、黄海新区或地方政府因项目建设及其导致调整水系、电力线路、道路体系变化的，乙方无条件配合并做好减损工作，且甲方不予任何补偿或赔偿。</w:t>
      </w:r>
    </w:p>
    <w:p w14:paraId="13A84FB7">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4.甲方有权按照现代渔业养殖要求对乙方使用的养殖投入品进行监督检查，禁止乙方使用不符合食品质量安全要求的投入品。一经发现，甲方有权利没收乙方履约保证金。</w:t>
      </w:r>
    </w:p>
    <w:p w14:paraId="3E673D3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5.遇到台风、暴雨等特殊天气，甲方有权基于防汛抗洪的实际需要，指定乙方租赁池塘的排水时间和禁排时间，乙方必须无条件服从甲方的安排，由此给乙方造成损失的，甲方不承担任何赔偿或补偿等责任。</w:t>
      </w:r>
    </w:p>
    <w:p w14:paraId="0E77EB6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6.在租期届满或期内合同解除后，乙方未能交还租赁物且乙方已将租赁物分租、转租给次承租人的，甲方有权就该租赁物直接与次承租人签订租赁协议，并直接收取次承租人的租金。</w:t>
      </w:r>
    </w:p>
    <w:p w14:paraId="45CAD03D">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六、乙方的权利和义务</w:t>
      </w:r>
    </w:p>
    <w:p w14:paraId="6BBCBBA0">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1.严格遵守国家法律法规，依法养殖经营。乙方必须严格遵守我国野生动物保护法，禁止猎捕、杀害以及其他妨碍国家重点保护野生动物生息繁衍的活动；严格遵守环境保护相关法律法规，养殖区域禁止新增、新建、改建、扩建生产、生活设施，禁止使用剧毒农药或药品，禁止向水体排放有害废水。如乙方违反上述约定的，甲方将向有关部门举报，依法追究相关责任人法律责任。</w:t>
      </w:r>
    </w:p>
    <w:p w14:paraId="0A88F29E">
      <w:pPr>
        <w:spacing w:line="540" w:lineRule="exact"/>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负责因鱼塘养殖活动导致的光伏设备防水问题及其他衍生问题的处理与全部费用；在渔业养殖过程中，产生影响电站设备安全运行的问题，乙方必须在规定期限内完成问题整改落实</w:t>
      </w:r>
      <w:r>
        <w:rPr>
          <w:rFonts w:hint="eastAsia" w:ascii="仿宋" w:hAnsi="仿宋" w:eastAsia="仿宋"/>
          <w:color w:val="auto"/>
          <w:sz w:val="28"/>
          <w:szCs w:val="28"/>
          <w:highlight w:val="none"/>
          <w:lang w:eastAsia="zh-CN"/>
        </w:rPr>
        <w:t>。</w:t>
      </w:r>
    </w:p>
    <w:p w14:paraId="3DA56D9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2.遵守甲方关于海淡水养殖的所有制度(乙方确认已经知悉上述的甲方管理制度，详见本合同附件)。按照优质、生态、安全、绿色、无公害养殖要求进行养殖，服从甲方依据法律法规和本合同约定进行的养殖管理</w:t>
      </w:r>
    </w:p>
    <w:p w14:paraId="7AC02C70">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3.具有合同范围内的自主经营权，须诚实守信，合法经营。</w:t>
      </w:r>
    </w:p>
    <w:p w14:paraId="596A84BE">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4.按合同规定按时足额缴纳租赁费、其他费用和所有的相关税金。</w:t>
      </w:r>
    </w:p>
    <w:p w14:paraId="32C5F4B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5.维护养殖区内社会治安，遵守安全、环保等管理制度。</w:t>
      </w:r>
    </w:p>
    <w:p w14:paraId="7EF1005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6.对本租赁池塘区域内的公共设施有维护责任和义务。</w:t>
      </w:r>
    </w:p>
    <w:p w14:paraId="0963283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7.乙方为安全生产责任主体，应全面落实安全生产法律法规及环保法规定的责任，对租赁期内的养殖生产及发生的一切安全事故承担全部责任。乙方必须为雇工每人参投不低于50万元保额的人身意外伤害保险。</w:t>
      </w:r>
    </w:p>
    <w:p w14:paraId="6277C68C">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8.乙方必须服从甲方管理，不得违反治安管理规定，不得有非访、越级访、集体访、串联访、无理缠访和闹访等行为。如有违反上述任何一项视为乙方自动放弃下一轮的池塘优先租赁权并自行承担由此造成的一切责任和经济损失，且甲方有权解除本合同。</w:t>
      </w:r>
    </w:p>
    <w:p w14:paraId="7A6D78D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9.严禁在池塘内、外及周边土地上随意乱丢废弃药瓶、包装袋等生产生活垃圾。所有垃圾要集中堆放，由养殖管理区按时处理，对于池塘死鱼必须按照规定要求进行处理，不得随意丢弃或违规处理。</w:t>
      </w:r>
    </w:p>
    <w:p w14:paraId="18C60DB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10.乙方应根据池塘现有状况保持合理水位，避免对池塘堤坝及其它基础设施和附属设施造成损坏，如遇大风天气应及时降低水位，因管理不善或因擅自加高水位对池塘堤坝造成溃坝、管涌等安全隐患，由此造成的一切损失由乙方全部承担赔偿。</w:t>
      </w:r>
    </w:p>
    <w:p w14:paraId="3299389B">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11、在租期届满或期内合同解除后，乙方保证无条件将租赁池塘交给甲方。</w:t>
      </w:r>
    </w:p>
    <w:p w14:paraId="6FEE8E39">
      <w:pPr>
        <w:spacing w:line="540" w:lineRule="exact"/>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如本合同项下的池塘存在光伏设施设备的，则乙方不得以光伏设施设备影响养殖为由，向光伏设施设备产权人或招租人（甲方）主张损失赔偿或补偿，也不得阻止光伏设备产权人的日常维护维修工作。</w:t>
      </w:r>
    </w:p>
    <w:p w14:paraId="62D2116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七、其它约定</w:t>
      </w:r>
    </w:p>
    <w:p w14:paraId="5254699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1.乙方必须协助甲方处理本合同项下租赁物的相关遗留问题，乙方不协助的，视为乙方违约，由此发生的相关损失，由乙方向甲方赔偿。</w:t>
      </w:r>
    </w:p>
    <w:p w14:paraId="020E24C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如果乙方以前是或目前是甲方或盐城市新滩盐场实业发展有限公司的承租户的，乙方确认，在签署本合同时，就此前已经履行完毕或目前正在履行的其他租赁合同，乙方同意放弃向甲方或盐城市新滩盐场实业发展有限公司提出的任何主张和要求，并确认将来不再就以前的租赁合同和目前正在履行的其他租赁合同向甲方或盐城市新滩盐场实业发展有限公司提出任何索赔或补偿的请求，以前的租赁合同和目前履行中的其他租赁合同的争议全部处理结束(乙方积欠甲方或盐城市新滩盐场实业发展有限公司的租金或占用费除外)。</w:t>
      </w:r>
    </w:p>
    <w:p w14:paraId="3C73D34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在签署本租赁合同时如双方存在未结的诉讼案件的，双方一致同意，就双方之间的所有租赁合同纠纷及其相关赔偿补偿等争议的诉讼案件，由原告方或上诉人向相关法院撤回起诉或上诉。就上述撤回的诉讼案件，今后任何一方均不得再行起诉或上诉，并承诺从实体上放弃所有的诉讼请求或上诉请求(乙方积欠甲方的租金或占用费、占用甲方池塘的案件除外)。</w:t>
      </w:r>
    </w:p>
    <w:p w14:paraId="3ACC2F3E">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乙方认可甲方租赁物的水源供应、池塘、附属设施及内、外线进排水水系现状满足乙方的养殖需要。租赁期间，未经甲方书面同意，乙方不得擅自改变池塘结构和形状，不得擅自修建其它永久性房屋、道路、桥梁、电力设施等。乙方负责所租赁池塘区域内外的道路、涵闸、池塘堤堆、进排水河道、桥梁等设施的日常维护与保养，池塘改造的土方不得外运；乙方</w:t>
      </w:r>
      <w:r>
        <w:rPr>
          <w:rFonts w:hint="eastAsia" w:ascii="仿宋" w:hAnsi="仿宋" w:eastAsia="仿宋"/>
          <w:color w:val="auto"/>
          <w:sz w:val="28"/>
          <w:szCs w:val="28"/>
          <w:highlight w:val="none"/>
          <w:lang w:val="en-US" w:eastAsia="zh-CN"/>
        </w:rPr>
        <w:t>如</w:t>
      </w:r>
      <w:r>
        <w:rPr>
          <w:rFonts w:hint="eastAsia" w:ascii="仿宋" w:hAnsi="仿宋" w:eastAsia="仿宋"/>
          <w:color w:val="auto"/>
          <w:sz w:val="28"/>
          <w:szCs w:val="28"/>
          <w:highlight w:val="none"/>
        </w:rPr>
        <w:t>需</w:t>
      </w:r>
      <w:r>
        <w:rPr>
          <w:rFonts w:hint="eastAsia" w:ascii="仿宋" w:hAnsi="仿宋" w:eastAsia="仿宋"/>
          <w:color w:val="auto"/>
          <w:sz w:val="28"/>
          <w:szCs w:val="28"/>
          <w:highlight w:val="none"/>
          <w:lang w:val="en-US" w:eastAsia="zh-CN"/>
        </w:rPr>
        <w:t>新建</w:t>
      </w:r>
      <w:r>
        <w:rPr>
          <w:rFonts w:hint="eastAsia" w:ascii="仿宋" w:hAnsi="仿宋" w:eastAsia="仿宋"/>
          <w:color w:val="auto"/>
          <w:sz w:val="28"/>
          <w:szCs w:val="28"/>
          <w:highlight w:val="none"/>
        </w:rPr>
        <w:t>道路、涵闸、池塘堤堆、</w:t>
      </w:r>
      <w:r>
        <w:rPr>
          <w:rFonts w:hint="eastAsia" w:ascii="仿宋" w:hAnsi="仿宋" w:eastAsia="仿宋"/>
          <w:color w:val="auto"/>
          <w:sz w:val="28"/>
          <w:szCs w:val="28"/>
          <w:highlight w:val="none"/>
          <w:lang w:val="en-US" w:eastAsia="zh-CN"/>
        </w:rPr>
        <w:t>塘底、</w:t>
      </w:r>
      <w:r>
        <w:rPr>
          <w:rFonts w:hint="eastAsia" w:ascii="仿宋" w:hAnsi="仿宋" w:eastAsia="仿宋"/>
          <w:color w:val="auto"/>
          <w:sz w:val="28"/>
          <w:szCs w:val="28"/>
          <w:highlight w:val="none"/>
        </w:rPr>
        <w:t>进排水河道、桥梁等设施</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搭建临时用房、架设内部电力设施的须经养殖区认可并书面报请甲方安环部，待甲方书面批复同意后方可进行。上述事宜所需资金由乙方自行筹集，乙方搭建的上述临时用房等附属设施以及道路、涵闸、池塘堤堆、进排水河道、桥梁</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电力</w:t>
      </w:r>
      <w:r>
        <w:rPr>
          <w:rFonts w:hint="eastAsia" w:ascii="仿宋" w:hAnsi="仿宋" w:eastAsia="仿宋"/>
          <w:color w:val="auto"/>
          <w:sz w:val="28"/>
          <w:szCs w:val="28"/>
          <w:highlight w:val="none"/>
        </w:rPr>
        <w:t>等设施，无论是否获得甲方同意，其产权自乙方搭建完成时即归甲方所有，在租赁期满后或租期内解除合同后，乙方必须无偿移交给甲方，且乙方不得破坏，否则计价赔偿（乙方下线养殖户投入由乙方自行处理或承担补偿费用，与甲方无涉）。</w:t>
      </w:r>
    </w:p>
    <w:p w14:paraId="26B2629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5.乙方缴纳的合同履约保证金不计利息。本合同租期届满或合同解除时，乙方将池塘及其投入资产按不低于完好率85%移交甲方后，甲方将根据资产完好率酌情免息退还履约保证金(但如乙方出现违约行为、或因乙方违约导致租期内解除合同的，甲方有权不退还保证金)。如有资产损坏的，经第三方评估或双方协商来确定赔偿金额，在保证金中扣除相应赔偿款后的余款退还乙方；若保证金不足赔付的，由乙方予以补足。</w:t>
      </w:r>
    </w:p>
    <w:p w14:paraId="178C3E4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6.乙方必须按照国家法律法规和无公害农产品要求组织生产经营活动，甲方有权检查乙方使用的药物、饲料等，若发现乙方使用不合格的药物、饲料等，甲方有权制止乙方使用，并向行政部门举报，并按本合同约定追究乙方的违约责任。</w:t>
      </w:r>
    </w:p>
    <w:p w14:paraId="725A814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7.甲方不承担因电网停电、停水、水源质量、水体供应量等原因而造成的乙方养殖损失。甲方仅提供现有条件下的水、电、路等设施，乙方签署本合同的行为视为乙方认可该池塘现有条件下的基础设施满足其养殖需求。甲方只提供现有的进、排水系统。因特殊情况需要甲方协调解决养殖用水时，甲方在有调度可能情况下提供协助。如需提高水位，相关设施的建设和投入由乙方负责，费用由乙方自行承担。乙方投资建设的相关设施自乙方建造之时起，其产权即归甲方所有。合同期满或合同提前解除时，乙方须无偿移交给甲方，且不得破坏，否则计价赔偿。</w:t>
      </w:r>
    </w:p>
    <w:p w14:paraId="2CDDE87D">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8.在养殖生产期间，乙方应熟悉掌握</w:t>
      </w:r>
      <w:r>
        <w:rPr>
          <w:rFonts w:hint="eastAsia" w:ascii="仿宋" w:hAnsi="仿宋" w:eastAsia="仿宋"/>
          <w:color w:val="auto"/>
          <w:sz w:val="28"/>
          <w:szCs w:val="28"/>
          <w:highlight w:val="none"/>
          <w:lang w:val="en-US" w:eastAsia="zh-CN"/>
        </w:rPr>
        <w:t>海、</w:t>
      </w:r>
      <w:r>
        <w:rPr>
          <w:rFonts w:hint="eastAsia" w:ascii="仿宋" w:hAnsi="仿宋" w:eastAsia="仿宋"/>
          <w:color w:val="auto"/>
          <w:sz w:val="28"/>
          <w:szCs w:val="28"/>
          <w:highlight w:val="none"/>
        </w:rPr>
        <w:t>淡水供应季节</w:t>
      </w:r>
      <w:r>
        <w:rPr>
          <w:rFonts w:hint="eastAsia" w:ascii="仿宋" w:hAnsi="仿宋" w:eastAsia="仿宋"/>
          <w:color w:val="auto"/>
          <w:sz w:val="28"/>
          <w:szCs w:val="28"/>
          <w:highlight w:val="none"/>
          <w:lang w:val="en-US" w:eastAsia="zh-CN"/>
        </w:rPr>
        <w:t>等</w:t>
      </w:r>
      <w:r>
        <w:rPr>
          <w:rFonts w:hint="eastAsia" w:ascii="仿宋" w:hAnsi="仿宋" w:eastAsia="仿宋"/>
          <w:color w:val="auto"/>
          <w:sz w:val="28"/>
          <w:szCs w:val="28"/>
          <w:highlight w:val="none"/>
        </w:rPr>
        <w:t>特点，自行安排进、排水时间，保证养殖用水，并认真加强对水质的监控，配备必要的水质检验器材，如因乙方自身对水质监察不力，误进了污染水、有害水等导致养殖品种发生病害或死亡的，甲方概不负责。</w:t>
      </w:r>
    </w:p>
    <w:p w14:paraId="29CAC87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9.租赁期间，乙方应自行加强应对突发性停电事故的能力，自备发电机、增氧用品等设备或物品。如因供电单位原因、不可抗力或强对流天气、雷电等原因造成停电停水的，甲方不承担任何赔偿或补偿责任。</w:t>
      </w:r>
    </w:p>
    <w:p w14:paraId="45D5D13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10.租赁期间，如因乙方管理不善，对其租赁区域内池塘四周堤堆、与之配套的进排水河道及涵闸、电力线路、自来水管道等设施造成损坏和安全隐患以及由此产生的延伸后果，由乙方负全责，并自行承担相应的赔偿和维修费用。</w:t>
      </w:r>
    </w:p>
    <w:p w14:paraId="5E14979D">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11.租赁期间，在乙方承包区域内经甲方认定的公共砂石道路，交由乙方</w:t>
      </w:r>
      <w:r>
        <w:rPr>
          <w:rFonts w:hint="eastAsia" w:ascii="仿宋" w:hAnsi="仿宋" w:eastAsia="仿宋"/>
          <w:color w:val="auto"/>
          <w:sz w:val="28"/>
          <w:szCs w:val="28"/>
          <w:highlight w:val="none"/>
          <w:lang w:val="en-US" w:eastAsia="zh-CN"/>
        </w:rPr>
        <w:t>自行</w:t>
      </w:r>
      <w:r>
        <w:rPr>
          <w:rFonts w:hint="eastAsia" w:ascii="仿宋" w:hAnsi="仿宋" w:eastAsia="仿宋"/>
          <w:color w:val="auto"/>
          <w:sz w:val="28"/>
          <w:szCs w:val="28"/>
          <w:highlight w:val="none"/>
        </w:rPr>
        <w:t>维护</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费用自理</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另：没有光伏设施设备的正常海水池塘</w:t>
      </w:r>
      <w:r>
        <w:rPr>
          <w:rFonts w:hint="eastAsia" w:ascii="仿宋" w:hAnsi="仿宋" w:eastAsia="仿宋"/>
          <w:color w:val="auto"/>
          <w:sz w:val="28"/>
          <w:szCs w:val="28"/>
          <w:highlight w:val="none"/>
        </w:rPr>
        <w:t>，由甲乙双方另行签订砂石道路维护协议，交由乙方维护,每年年底由甲方组织验收，经验收合格的甲方给付乙方每年每公里5000元维护费</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具体以双方签订的砂石道路维护协议内容为</w:t>
      </w:r>
      <w:r>
        <w:rPr>
          <w:rFonts w:hint="eastAsia" w:ascii="仿宋" w:hAnsi="仿宋" w:eastAsia="仿宋"/>
          <w:color w:val="auto"/>
          <w:sz w:val="28"/>
          <w:szCs w:val="28"/>
          <w:highlight w:val="none"/>
          <w:lang w:val="en-US" w:eastAsia="zh-CN"/>
        </w:rPr>
        <w:t>准</w:t>
      </w:r>
      <w:r>
        <w:rPr>
          <w:rFonts w:hint="eastAsia" w:ascii="仿宋" w:hAnsi="仿宋" w:eastAsia="仿宋"/>
          <w:color w:val="auto"/>
          <w:sz w:val="28"/>
          <w:szCs w:val="28"/>
          <w:highlight w:val="none"/>
        </w:rPr>
        <w:t>)。</w:t>
      </w:r>
    </w:p>
    <w:p w14:paraId="3150E895">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12.在不影响养殖生产的情况下，乙方有义务配合甲方在其承包区域实施绿化工程，乙方不得阻扰施工，不得索取任何补偿或赔偿。</w:t>
      </w:r>
    </w:p>
    <w:p w14:paraId="67CE3123">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13.租赁期届满</w:t>
      </w:r>
      <w:r>
        <w:rPr>
          <w:rFonts w:hint="eastAsia" w:ascii="仿宋" w:hAnsi="仿宋" w:eastAsia="仿宋"/>
          <w:color w:val="auto"/>
          <w:sz w:val="28"/>
          <w:szCs w:val="28"/>
          <w:highlight w:val="none"/>
          <w:lang w:val="en-US" w:eastAsia="zh-CN"/>
        </w:rPr>
        <w:t>前</w:t>
      </w:r>
      <w:r>
        <w:rPr>
          <w:rFonts w:hint="eastAsia" w:ascii="仿宋" w:hAnsi="仿宋" w:eastAsia="仿宋"/>
          <w:color w:val="auto"/>
          <w:sz w:val="28"/>
          <w:szCs w:val="28"/>
          <w:highlight w:val="none"/>
        </w:rPr>
        <w:t>或因乙方违约而甲方解除合同后</w:t>
      </w:r>
      <w:r>
        <w:rPr>
          <w:rFonts w:hint="eastAsia" w:ascii="仿宋" w:hAnsi="仿宋" w:eastAsia="仿宋"/>
          <w:color w:val="auto"/>
          <w:sz w:val="28"/>
          <w:szCs w:val="28"/>
          <w:highlight w:val="none"/>
          <w:lang w:val="en-US" w:eastAsia="zh-CN"/>
        </w:rPr>
        <w:t>20日内</w:t>
      </w:r>
      <w:r>
        <w:rPr>
          <w:rFonts w:hint="eastAsia" w:ascii="仿宋" w:hAnsi="仿宋" w:eastAsia="仿宋"/>
          <w:color w:val="auto"/>
          <w:sz w:val="28"/>
          <w:szCs w:val="28"/>
          <w:highlight w:val="none"/>
        </w:rPr>
        <w:t>，乙方按合同约定要求将租赁池塘及基础设施等所有固定资产无矛盾、无条件、无任何补偿地移交甲方，否则视乙方违约。乙方下线养殖户</w:t>
      </w:r>
      <w:r>
        <w:rPr>
          <w:rFonts w:hint="eastAsia" w:ascii="仿宋" w:hAnsi="仿宋" w:eastAsia="仿宋"/>
          <w:color w:val="auto"/>
          <w:sz w:val="28"/>
          <w:szCs w:val="28"/>
          <w:highlight w:val="none"/>
          <w:lang w:val="en-US" w:eastAsia="zh-CN"/>
        </w:rPr>
        <w:t>的</w:t>
      </w:r>
      <w:r>
        <w:rPr>
          <w:rFonts w:hint="eastAsia" w:ascii="仿宋" w:hAnsi="仿宋" w:eastAsia="仿宋"/>
          <w:color w:val="auto"/>
          <w:sz w:val="28"/>
          <w:szCs w:val="28"/>
          <w:highlight w:val="none"/>
        </w:rPr>
        <w:t>投入由乙方自行处理或承担补偿费用，与甲方无涉。</w:t>
      </w:r>
    </w:p>
    <w:p w14:paraId="3C36534C">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14.租赁期届满或因乙方违约而甲方解除合同时，乙方保证自己和合作方（包括但不限于乙方的其他合伙人、合作人和下线养殖户等）及时全部退出养殖区域，养殖期间产生的纠纷矛盾由乙方负责全权处理。如因矛盾纠纷处理不力或未按期交塘给甲方造成经济损失，由乙方</w:t>
      </w:r>
      <w:r>
        <w:rPr>
          <w:rFonts w:hint="eastAsia" w:ascii="仿宋" w:hAnsi="仿宋" w:eastAsia="仿宋"/>
          <w:color w:val="auto"/>
          <w:sz w:val="28"/>
          <w:szCs w:val="28"/>
          <w:highlight w:val="none"/>
          <w:lang w:val="en-US" w:eastAsia="zh-CN"/>
        </w:rPr>
        <w:t>向甲方</w:t>
      </w:r>
      <w:r>
        <w:rPr>
          <w:rFonts w:hint="eastAsia" w:ascii="仿宋" w:hAnsi="仿宋" w:eastAsia="仿宋"/>
          <w:color w:val="auto"/>
          <w:sz w:val="28"/>
          <w:szCs w:val="28"/>
          <w:highlight w:val="none"/>
        </w:rPr>
        <w:t>全额承担赔偿责任。</w:t>
      </w:r>
    </w:p>
    <w:p w14:paraId="553473F2">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15.在租赁期内，因甲方的建设、规划等原因导致甲方不能继续出租本合同项下租赁物的，甲方有权提前解除本合同，乙方须无条件服从，并在收到解除通知书后20日内交还租赁物，且甲方不予任何赔偿或补偿(但对于乙方在本租期内且在本合同租赁物范围内新投入的不动产，在乙方提供充分、真实证据的基础上，委托第三方按照本合同租期进行折旧的残值评估，甲方可以但非必须予以适当补偿。除此之外，甲方概不予补偿。乙方下线养殖户投入由乙方自行处理或承担补偿费用，与甲方无涉)。在此情形下收回租赁物时，甲方按乙方实际使用租赁物的时间计算收取租金。</w:t>
      </w:r>
    </w:p>
    <w:p w14:paraId="35466DE0">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16.在租赁期内，乙方应及时缴纳电费、水费等相关费用，如乙方拖欠总金额超过一千元且迟延支付达十日的，视乙方违约，甲方有权解除本合同，并有权进行停电、停水处理，由此引发的一切损失由乙方全额承担。</w:t>
      </w:r>
    </w:p>
    <w:p w14:paraId="2F623FA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17.因乙方违约导致解除合同的，甲方可以提前书面告知乙方(如乙方逾期缴纳租金或租金缴纳不足额的，甲方可以不予告知而直接解除或终止合同)。乙方收到甲方的解除合同告知后，必须在20日内完成清塘和交塘，且甲方不予任何补偿或赔偿。如乙方逾期未交还租赁物的，该租赁物内所有水产品由甲方全权处理，且甲方不予任何赔偿或补偿，所造成的一切损失由乙方承担，且乙方须承担本合同约定的占用费和其他违约责任。</w:t>
      </w:r>
    </w:p>
    <w:p w14:paraId="0E6242C0">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八、合同变更和解除</w:t>
      </w:r>
    </w:p>
    <w:p w14:paraId="1B743E8D">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1.本合同租期届满时本合同自然终止，双方结清费用。租期内如自然灾害、政府行为、甲方规划建设等原因致使不能实现合同目的时，本合同自动解除，互不负违约责任，由双方按实结算租金。</w:t>
      </w:r>
    </w:p>
    <w:p w14:paraId="29AA004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乙方不得擅自将租赁物转包、出卖、抵押给他人，不得将租赁经营权利转移给他人或变相转移给他人，否则甲方有权解除合同，一切责任由乙方承担。如果乙方确实需要转租或分租的，须征得甲方书面同意。对于同意乙方转租的租赁物，甲方认为有必要，可以书面通知乙方将其已经转租的池塘收回，由乙方自己继续经营。甲方上述同意书和通知书自乙方收到之日生效，乙方须严格执行，否则视为乙方违约。即使甲方知悉乙方存在上述违约行为但未予制止或未解除合同的，并不视为甲方对乙方上述违约行为的默认，也不影响乙方应当承担的相关违约责任。</w:t>
      </w:r>
    </w:p>
    <w:p w14:paraId="23B16818">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本合同签订后，如因上级政府机关及其部门、黄海新区的规划建设、招商引资、征地拆迁的等政府行为需要改变土地用途或收回租赁物的，导致本合同不能履行的，合同自动终止(甲方也有权解除同),双方互不承担违约责任。乙方接到甲方终止合同或解除合同的书面通知后，须在二十日内无条件地按照本合同约定交还租赁物，甲方不承担任何赔偿或补偿(但对于乙方在本租期内且在本合同租赁物范围内新投入的不动产，在乙方提供充分、真实证据的基础上，委托第三方按照本合同租期进行折旧的残值评估，甲方可以但非必须予以适当补偿。除此之外，甲方概不予补偿或赔偿。乙方下线养殖户投入由乙方自行处理或承担补偿费用，与甲方无涉)。征地拆迁（征塘）的相关补偿均归甲方所有。</w:t>
      </w:r>
    </w:p>
    <w:p w14:paraId="7F2A306A">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九、安全生产</w:t>
      </w:r>
    </w:p>
    <w:p w14:paraId="55933AC0">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租赁区域的安全责任具体按甲乙双方签订的安全管理责任书执行。租赁期间，乙方及其所聘用的人员发生的一切人身安全及设备事故，均由乙方负责，与甲方无涉。</w:t>
      </w:r>
    </w:p>
    <w:p w14:paraId="697BBA5A">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乙方应配合甲方及其上级部门的安全、环保的检查和监督，对于甲方书面通知中所提出的安全、环保隐患必须立刻整改，否则，甲方有权进行组织第三方进行整改（相关整改费用由乙方承担），有权解除合同，有权没收乙方履约保证金，同时乙方需承担本合同约定的相关违约责任。 </w:t>
      </w:r>
    </w:p>
    <w:p w14:paraId="46C512E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十、免责条款</w:t>
      </w:r>
    </w:p>
    <w:p w14:paraId="1EB4383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如遇不可抗力的自然灾害(如台风、海啸、地震等)和政府行为等造成的损失，双方互相免责，本租赁合同终止履行。</w:t>
      </w:r>
    </w:p>
    <w:p w14:paraId="3485874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十一、违约责任</w:t>
      </w:r>
    </w:p>
    <w:p w14:paraId="5B00C7D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1.乙方违约，按上述违约条款处理；甲方违反合同条款的，全额赔偿乙方所蒙受的相应直接经济损失。</w:t>
      </w:r>
    </w:p>
    <w:p w14:paraId="5719BFE3">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2.本合同租期届满或租期内解除合同的，乙方在租期届满或合同解除之日起一个月内未能交还租赁物的，在承担本合同约定的占用费的同时，还须承担人民币100万元的惩罚性违约金。</w:t>
      </w:r>
    </w:p>
    <w:p w14:paraId="18F414F8">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乙方违背本合同约定的禁止性义务的(本合同另有约定的，按照该约定执行),经甲方书面通知但乙方拒绝整改的，甲方有权解除合同，乙方须交还租赁物，承担逾期交还租赁物期间按照租金标准1.5倍计算的占用费，并承担本合同前款约定的违约金责任。</w:t>
      </w:r>
    </w:p>
    <w:p w14:paraId="5CF0132F">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4.在履行本合同过程中，如乙方出现违约行为的，则自动丧失优先承租权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并被纳入“不受欢迎竞租人名单”</w:t>
      </w:r>
      <w:r>
        <w:rPr>
          <w:rFonts w:hint="eastAsia" w:ascii="仿宋" w:hAnsi="仿宋" w:eastAsia="仿宋"/>
          <w:color w:val="auto"/>
          <w:sz w:val="28"/>
          <w:szCs w:val="28"/>
          <w:highlight w:val="none"/>
        </w:rPr>
        <w:t>。</w:t>
      </w:r>
    </w:p>
    <w:p w14:paraId="02E972F1">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5</w:t>
      </w:r>
      <w:r>
        <w:rPr>
          <w:rFonts w:hint="eastAsia" w:ascii="仿宋" w:hAnsi="仿宋" w:eastAsia="仿宋"/>
          <w:color w:val="auto"/>
          <w:sz w:val="28"/>
          <w:szCs w:val="28"/>
          <w:highlight w:val="none"/>
        </w:rPr>
        <w:t>、水体腐蚀与设备防水责任</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 乙方承认并同意，鱼塘环境（包括水体、水汽、养殖投入品等）将对光伏设备（包括但不限于开关站、支架、箱变、电缆、汇流箱、逆变器等）构成潜在的进水和绝缘风险。乙方必须承担所有设备防水、防潮的技改费用（如抬高设备基础、密封处理、更换耐腐蚀材料等），并确保其标准高于普通地面电站要求。租赁期内，因鱼塘养殖直接或间接导致的任何设备防水失效、短路等问题，其产生的维修费用、设备更换费用及发电损失均由乙方承担。</w:t>
      </w:r>
    </w:p>
    <w:p w14:paraId="7E5CABB4">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、运维通道保障责任</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乙方在堤坝</w:t>
      </w:r>
      <w:r>
        <w:rPr>
          <w:rFonts w:hint="eastAsia" w:ascii="仿宋" w:hAnsi="仿宋" w:eastAsia="仿宋"/>
          <w:color w:val="auto"/>
          <w:sz w:val="28"/>
          <w:szCs w:val="28"/>
          <w:highlight w:val="none"/>
          <w:lang w:val="en-US" w:eastAsia="zh-CN"/>
        </w:rPr>
        <w:t>管护</w:t>
      </w:r>
      <w:r>
        <w:rPr>
          <w:rFonts w:hint="eastAsia" w:ascii="仿宋" w:hAnsi="仿宋" w:eastAsia="仿宋"/>
          <w:color w:val="auto"/>
          <w:sz w:val="28"/>
          <w:szCs w:val="28"/>
          <w:highlight w:val="none"/>
        </w:rPr>
        <w:t>、养殖作业、安装增氧设备等任何活动中，必须无条件保障</w:t>
      </w:r>
      <w:r>
        <w:rPr>
          <w:rFonts w:hint="eastAsia" w:ascii="仿宋" w:hAnsi="仿宋" w:eastAsia="仿宋"/>
          <w:color w:val="auto"/>
          <w:sz w:val="28"/>
          <w:szCs w:val="28"/>
          <w:highlight w:val="none"/>
          <w:lang w:val="en-US" w:eastAsia="zh-CN"/>
        </w:rPr>
        <w:t>光伏发电单位</w:t>
      </w:r>
      <w:r>
        <w:rPr>
          <w:rFonts w:hint="eastAsia" w:ascii="仿宋" w:hAnsi="仿宋" w:eastAsia="仿宋"/>
          <w:color w:val="auto"/>
          <w:sz w:val="28"/>
          <w:szCs w:val="28"/>
          <w:highlight w:val="none"/>
        </w:rPr>
        <w:t>运维及检修通道（便道）的畅通、完好与可达性。通道宽度、承重能力及转弯半径须满足</w:t>
      </w:r>
      <w:r>
        <w:rPr>
          <w:rFonts w:hint="eastAsia" w:ascii="仿宋" w:hAnsi="仿宋" w:eastAsia="仿宋"/>
          <w:color w:val="auto"/>
          <w:sz w:val="28"/>
          <w:szCs w:val="28"/>
          <w:highlight w:val="none"/>
          <w:lang w:val="en-US" w:eastAsia="zh-CN"/>
        </w:rPr>
        <w:t>光伏发电单位</w:t>
      </w:r>
      <w:r>
        <w:rPr>
          <w:rFonts w:hint="eastAsia" w:ascii="仿宋" w:hAnsi="仿宋" w:eastAsia="仿宋"/>
          <w:color w:val="auto"/>
          <w:sz w:val="28"/>
          <w:szCs w:val="28"/>
          <w:highlight w:val="none"/>
        </w:rPr>
        <w:t>运维车辆（如SUV、皮卡车）的通行的要求（具体标准由甲方提供）。 如因乙方原因（如堆放物料、挖掘道路、设置固定障碍物等）导致运维通道中断或无法使用，乙方必须在接到甲方通知后2小时内予以清除和恢复。若因此延误故障抢修，乙方需赔偿</w:t>
      </w:r>
      <w:r>
        <w:rPr>
          <w:rFonts w:hint="eastAsia" w:ascii="仿宋" w:hAnsi="仿宋" w:eastAsia="仿宋"/>
          <w:color w:val="auto"/>
          <w:sz w:val="28"/>
          <w:szCs w:val="28"/>
          <w:highlight w:val="none"/>
          <w:lang w:val="en-US" w:eastAsia="zh-CN"/>
        </w:rPr>
        <w:t>光伏发电单位</w:t>
      </w:r>
      <w:r>
        <w:rPr>
          <w:rFonts w:hint="eastAsia" w:ascii="仿宋" w:hAnsi="仿宋" w:eastAsia="仿宋"/>
          <w:color w:val="auto"/>
          <w:sz w:val="28"/>
          <w:szCs w:val="28"/>
          <w:highlight w:val="none"/>
        </w:rPr>
        <w:t>由此产生的发电损失。若导致重大安全事故，乙方承担全部责任。</w:t>
      </w:r>
    </w:p>
    <w:p w14:paraId="302ED72D">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7</w:t>
      </w:r>
      <w:r>
        <w:rPr>
          <w:rFonts w:hint="eastAsia" w:ascii="仿宋" w:hAnsi="仿宋" w:eastAsia="仿宋"/>
          <w:color w:val="auto"/>
          <w:sz w:val="28"/>
          <w:szCs w:val="28"/>
          <w:highlight w:val="none"/>
        </w:rPr>
        <w:t>、养殖作业与电站安全冲突责任</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 乙方使用大型机械（如挖掘机、吊车）进行清塘、修坝</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取鱼</w:t>
      </w:r>
      <w:r>
        <w:rPr>
          <w:rFonts w:hint="eastAsia" w:ascii="仿宋" w:hAnsi="仿宋" w:eastAsia="仿宋"/>
          <w:color w:val="auto"/>
          <w:sz w:val="28"/>
          <w:szCs w:val="28"/>
          <w:highlight w:val="none"/>
        </w:rPr>
        <w:t>等作业时，须提前24小时书面通知甲方，并在</w:t>
      </w:r>
      <w:r>
        <w:rPr>
          <w:rFonts w:hint="eastAsia" w:ascii="仿宋" w:hAnsi="仿宋" w:eastAsia="仿宋"/>
          <w:color w:val="auto"/>
          <w:sz w:val="28"/>
          <w:szCs w:val="28"/>
          <w:highlight w:val="none"/>
          <w:lang w:val="en-US" w:eastAsia="zh-CN"/>
        </w:rPr>
        <w:t>光伏发电单位</w:t>
      </w:r>
      <w:r>
        <w:rPr>
          <w:rFonts w:hint="eastAsia" w:ascii="仿宋" w:hAnsi="仿宋" w:eastAsia="仿宋"/>
          <w:color w:val="auto"/>
          <w:sz w:val="28"/>
          <w:szCs w:val="28"/>
          <w:highlight w:val="none"/>
        </w:rPr>
        <w:t>人员的现场监护下进行，严格确保与光伏组件、支架、电缆、线路的安全距离，严禁碰撞、碾压任何电力设施。</w:t>
      </w:r>
    </w:p>
    <w:p w14:paraId="3CF7620C">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乙方自接的养殖用电线路须符合国家安全标准，不得私拉乱接，避免对电站产生干扰。</w:t>
      </w:r>
    </w:p>
    <w:p w14:paraId="688A4460">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凡因乙方养殖作业操作不当造成的设备物理损坏、线路中断、停电事故等，一切责任及损失由乙方承担。</w:t>
      </w:r>
    </w:p>
    <w:p w14:paraId="72CF4AD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十二、附则</w:t>
      </w:r>
    </w:p>
    <w:p w14:paraId="49D922D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1.如一方提出要求对本租赁合同进行公证的，可在公证部门办理公证手续，但公证费用由提出方承担，对方予以配合。</w:t>
      </w:r>
    </w:p>
    <w:p w14:paraId="2EE393F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在签署协议时，如原承租人尚未交还本合同项下的池塘的，则本合同直接、自动转变为预约合同，待甲方收回池塘后再交付给乙方使用，租期和租金支付时间节点均相应顺延，本合同的其他条款不变。如果顺延的时间超过一年的，甲乙双方均有权解除本合同，互不承担违约责任。但乙方由此获得在下一轮竞租中对该池塘的优先承租权。本条款属于本合同的特别条款。</w:t>
      </w:r>
    </w:p>
    <w:p w14:paraId="4F48832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3.本合同未尽事宜，由甲乙双方协商解决，签订补充合同。补充合同与本合同具有同等效力。如协商不成，任何一方均可向</w:t>
      </w:r>
      <w:r>
        <w:rPr>
          <w:rFonts w:hint="eastAsia" w:ascii="仿宋" w:hAnsi="仿宋" w:eastAsia="仿宋"/>
          <w:color w:val="auto"/>
          <w:sz w:val="28"/>
          <w:szCs w:val="28"/>
          <w:highlight w:val="none"/>
          <w:lang w:val="en-US" w:eastAsia="zh-CN"/>
        </w:rPr>
        <w:t>池塘所在地</w:t>
      </w:r>
      <w:r>
        <w:rPr>
          <w:rFonts w:hint="eastAsia" w:ascii="仿宋" w:hAnsi="仿宋" w:eastAsia="仿宋"/>
          <w:color w:val="auto"/>
          <w:sz w:val="28"/>
          <w:szCs w:val="28"/>
          <w:highlight w:val="none"/>
        </w:rPr>
        <w:t>人民法院提起诉讼。</w:t>
      </w:r>
    </w:p>
    <w:p w14:paraId="354ABCE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4.合同履行过程中双方的电话仅作为一般工作联系方式，重要事项应当以书面函件进行。双方的函件送达地址如下：</w:t>
      </w:r>
    </w:p>
    <w:p w14:paraId="58EDE26C">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（1）甲方送达地址：</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 </w:t>
      </w:r>
    </w:p>
    <w:p w14:paraId="755445B7">
      <w:pPr>
        <w:spacing w:line="540" w:lineRule="exact"/>
        <w:ind w:firstLine="1400" w:firstLineChars="500"/>
        <w:rPr>
          <w:rFonts w:ascii="仿宋" w:hAnsi="仿宋" w:eastAsia="仿宋"/>
          <w:color w:val="auto"/>
          <w:sz w:val="28"/>
          <w:szCs w:val="28"/>
          <w:highlight w:val="none"/>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，联系电话：</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 </w:t>
      </w:r>
    </w:p>
    <w:p w14:paraId="002884AA">
      <w:pPr>
        <w:spacing w:line="54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（2）乙方送达地址：</w:t>
      </w:r>
      <w:r>
        <w:rPr>
          <w:rFonts w:hint="eastAsia" w:ascii="仿宋" w:hAnsi="仿宋" w:eastAsia="仿宋"/>
          <w:color w:val="auto"/>
          <w:sz w:val="28"/>
          <w:szCs w:val="28"/>
          <w:highlight w:val="none"/>
          <w:u w:val="single"/>
        </w:rPr>
        <w:t xml:space="preserve">                                              </w:t>
      </w:r>
    </w:p>
    <w:p w14:paraId="74743BB1">
      <w:pPr>
        <w:spacing w:line="540" w:lineRule="exact"/>
        <w:ind w:firstLine="1260" w:firstLineChars="450"/>
        <w:jc w:val="left"/>
        <w:rPr>
          <w:rFonts w:ascii="仿宋" w:hAnsi="仿宋" w:eastAsia="仿宋"/>
          <w:color w:val="auto"/>
          <w:sz w:val="28"/>
          <w:szCs w:val="28"/>
          <w:highlight w:val="none"/>
          <w:u w:val="single"/>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，联系电话：</w:t>
      </w:r>
      <w:r>
        <w:rPr>
          <w:rFonts w:hint="eastAsia" w:ascii="仿宋" w:hAnsi="仿宋" w:eastAsia="仿宋"/>
          <w:color w:val="auto"/>
          <w:sz w:val="28"/>
          <w:szCs w:val="28"/>
          <w:highlight w:val="none"/>
          <w:u w:val="single"/>
        </w:rPr>
        <w:t xml:space="preserve">                  </w:t>
      </w:r>
    </w:p>
    <w:p w14:paraId="67F2B42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合同履行过程中，任何一方向对方发出的通知、信件、数据电文等，应当以书面函件形式通过邮寄方式送达给对方。一方当事人变更名称、地址、联系人的，应当在变更后3日内及时书面通知对方当事人，对方当事人实际收到变更通知前的送达仍为有效送达。任何一方当事人向对方所发出的信件，自信件交邮后的第7日视为送达成功。</w:t>
      </w:r>
    </w:p>
    <w:p w14:paraId="486B9E53">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上述送达地址可为双方工作联系往来、法律文书以及解决争议过程中人民法院或仲裁机构法律文书的送达地址。本合同送达条款与争议解决条款均为独立条款，不受合同整体或其他条款效力的影响。</w:t>
      </w:r>
    </w:p>
    <w:p w14:paraId="6A497DA9">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5.本合同的附件包括《养殖生产安全工作责任书》、《海淡水养殖管理规定》</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《养殖池塘租赁交接单》</w:t>
      </w:r>
      <w:r>
        <w:rPr>
          <w:rFonts w:hint="eastAsia" w:ascii="仿宋" w:hAnsi="仿宋" w:eastAsia="仿宋"/>
          <w:color w:val="auto"/>
          <w:sz w:val="28"/>
          <w:szCs w:val="28"/>
          <w:highlight w:val="none"/>
          <w:lang w:eastAsia="zh-CN"/>
        </w:rPr>
        <w:t>、《水产养殖安全环保承诺书》、《水产品质量安全承诺书》</w:t>
      </w:r>
      <w:r>
        <w:rPr>
          <w:rFonts w:hint="eastAsia" w:ascii="仿宋" w:hAnsi="仿宋" w:eastAsia="仿宋"/>
          <w:color w:val="auto"/>
          <w:sz w:val="28"/>
          <w:szCs w:val="28"/>
          <w:highlight w:val="none"/>
          <w:lang w:val="en-US" w:eastAsia="zh-CN"/>
        </w:rPr>
        <w:t>等</w:t>
      </w:r>
      <w:r>
        <w:rPr>
          <w:rFonts w:hint="eastAsia" w:ascii="仿宋" w:hAnsi="仿宋" w:eastAsia="仿宋"/>
          <w:color w:val="auto"/>
          <w:sz w:val="28"/>
          <w:szCs w:val="28"/>
          <w:highlight w:val="none"/>
        </w:rPr>
        <w:t>。乙方在履行合同过程中如有违背《养殖生产安全工作责任书》</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《海淡水养殖管理规定》</w:t>
      </w:r>
      <w:r>
        <w:rPr>
          <w:rFonts w:hint="eastAsia" w:ascii="仿宋" w:hAnsi="仿宋" w:eastAsia="仿宋"/>
          <w:color w:val="auto"/>
          <w:sz w:val="28"/>
          <w:szCs w:val="28"/>
          <w:highlight w:val="none"/>
          <w:lang w:eastAsia="zh-CN"/>
        </w:rPr>
        <w:t>、《水产养殖安全环保承诺书》、《水产品质量安全承诺书》</w:t>
      </w:r>
      <w:r>
        <w:rPr>
          <w:rFonts w:hint="eastAsia" w:ascii="仿宋" w:hAnsi="仿宋" w:eastAsia="仿宋"/>
          <w:color w:val="auto"/>
          <w:sz w:val="28"/>
          <w:szCs w:val="28"/>
          <w:highlight w:val="none"/>
          <w:lang w:val="en-US" w:eastAsia="zh-CN"/>
        </w:rPr>
        <w:t>等</w:t>
      </w:r>
      <w:r>
        <w:rPr>
          <w:rFonts w:hint="eastAsia" w:ascii="仿宋" w:hAnsi="仿宋" w:eastAsia="仿宋"/>
          <w:color w:val="auto"/>
          <w:sz w:val="28"/>
          <w:szCs w:val="28"/>
          <w:highlight w:val="none"/>
        </w:rPr>
        <w:t>的行为，也视为乙方违约，相关违约责任按照本合同的约定执行。</w:t>
      </w:r>
    </w:p>
    <w:p w14:paraId="0A111C00">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6.本轮《</w:t>
      </w:r>
      <w:r>
        <w:rPr>
          <w:rFonts w:hint="eastAsia" w:ascii="仿宋" w:hAnsi="仿宋" w:eastAsia="仿宋"/>
          <w:color w:val="auto"/>
          <w:sz w:val="28"/>
          <w:szCs w:val="28"/>
          <w:highlight w:val="none"/>
          <w:lang w:val="en-US" w:eastAsia="zh-CN"/>
        </w:rPr>
        <w:t>盐城市灌东盐场发展有限公司</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池塘公开招租方案书》及其附件的内容作为本合同的组成部分；如本合同内容与招租文件（含附件）相冲突的，以本合同为准；如本合同没有约定的，则按照招租方案书及其附件的规定执行。</w:t>
      </w:r>
    </w:p>
    <w:p w14:paraId="4C5BADEF">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7.本合同一式三份，甲方执二份、乙方执一份，自双方签署之日起生效。本合同签署于20</w:t>
      </w:r>
      <w:r>
        <w:rPr>
          <w:rFonts w:hint="eastAsia"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5</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3DBB29DA">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甲方(盖章): 盐城市灌东盐场发展有限公司</w:t>
      </w:r>
    </w:p>
    <w:p w14:paraId="3FAEE13E">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签约代表人：</w:t>
      </w:r>
    </w:p>
    <w:p w14:paraId="47C8CEAA">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乙方(盖章):</w:t>
      </w:r>
    </w:p>
    <w:p w14:paraId="07ABD6D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签约代表人： </w:t>
      </w:r>
    </w:p>
    <w:p w14:paraId="20FE4E2C">
      <w:pPr>
        <w:rPr>
          <w:color w:val="auto"/>
          <w:highlight w:val="none"/>
        </w:rPr>
      </w:pPr>
    </w:p>
    <w:p w14:paraId="6F9B55F5">
      <w:pPr>
        <w:rPr>
          <w:color w:val="auto"/>
          <w:highlight w:val="none"/>
        </w:rPr>
      </w:pPr>
    </w:p>
    <w:p w14:paraId="1BB29833">
      <w:pPr>
        <w:rPr>
          <w:rFonts w:ascii="幼圆" w:hAnsi="宋体" w:eastAsia="幼圆"/>
          <w:b/>
          <w:color w:val="auto"/>
          <w:sz w:val="28"/>
          <w:szCs w:val="28"/>
          <w:highlight w:val="none"/>
        </w:rPr>
      </w:pPr>
      <w:r>
        <w:rPr>
          <w:rFonts w:hint="eastAsia" w:ascii="幼圆" w:hAnsi="宋体" w:eastAsia="幼圆"/>
          <w:b/>
          <w:color w:val="auto"/>
          <w:sz w:val="28"/>
          <w:szCs w:val="28"/>
          <w:highlight w:val="none"/>
        </w:rPr>
        <w:t xml:space="preserve">附件7: </w:t>
      </w:r>
      <w:r>
        <w:rPr>
          <w:rFonts w:hint="eastAsia" w:ascii="幼圆" w:hAnsi="宋体" w:eastAsia="幼圆"/>
          <w:b/>
          <w:color w:val="auto"/>
          <w:sz w:val="28"/>
          <w:szCs w:val="28"/>
          <w:highlight w:val="none"/>
          <w:lang w:eastAsia="zh-CN"/>
        </w:rPr>
        <w:t>《</w:t>
      </w:r>
      <w:r>
        <w:rPr>
          <w:rFonts w:hint="eastAsia" w:ascii="幼圆" w:hAnsi="宋体" w:eastAsia="幼圆"/>
          <w:b/>
          <w:color w:val="auto"/>
          <w:sz w:val="28"/>
          <w:szCs w:val="28"/>
          <w:highlight w:val="none"/>
        </w:rPr>
        <w:t>养殖生产安全工作责任书</w:t>
      </w:r>
      <w:r>
        <w:rPr>
          <w:rFonts w:hint="eastAsia" w:ascii="幼圆" w:hAnsi="宋体" w:eastAsia="幼圆"/>
          <w:b/>
          <w:color w:val="auto"/>
          <w:sz w:val="28"/>
          <w:szCs w:val="28"/>
          <w:highlight w:val="none"/>
          <w:lang w:eastAsia="zh-CN"/>
        </w:rPr>
        <w:t>》</w:t>
      </w:r>
    </w:p>
    <w:p w14:paraId="5CAB674E">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养殖生产安全工作责任书</w:t>
      </w:r>
    </w:p>
    <w:p w14:paraId="7E4BF378">
      <w:pPr>
        <w:spacing w:line="240" w:lineRule="exact"/>
        <w:ind w:firstLine="565" w:firstLineChars="202"/>
        <w:rPr>
          <w:rFonts w:ascii="仿宋" w:hAnsi="仿宋" w:eastAsia="仿宋"/>
          <w:color w:val="auto"/>
          <w:sz w:val="28"/>
          <w:szCs w:val="28"/>
          <w:highlight w:val="none"/>
        </w:rPr>
      </w:pPr>
    </w:p>
    <w:p w14:paraId="08B20823">
      <w:pPr>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甲方(出租人):</w:t>
      </w:r>
      <w:r>
        <w:rPr>
          <w:rFonts w:hint="eastAsia" w:ascii="仿宋" w:hAnsi="仿宋" w:eastAsia="仿宋"/>
          <w:color w:val="auto"/>
          <w:sz w:val="28"/>
          <w:szCs w:val="28"/>
          <w:highlight w:val="none"/>
          <w:u w:val="single"/>
        </w:rPr>
        <w:t>盐城市灌东盐场发展有限公司</w:t>
      </w:r>
    </w:p>
    <w:p w14:paraId="7CFCAE86">
      <w:pPr>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乙方(承租人):</w:t>
      </w:r>
      <w:r>
        <w:rPr>
          <w:rFonts w:hint="eastAsia" w:ascii="仿宋" w:hAnsi="仿宋" w:eastAsia="仿宋"/>
          <w:color w:val="auto"/>
          <w:sz w:val="28"/>
          <w:szCs w:val="28"/>
          <w:highlight w:val="none"/>
          <w:u w:val="single"/>
        </w:rPr>
        <w:t xml:space="preserve">                          </w:t>
      </w:r>
    </w:p>
    <w:p w14:paraId="27E24708">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以保障养殖生产安全为目的，重点抓好水产品的质量安全管理，防止各种生产事故发生，保证从业人员安全，保障群众生命财产安全，促进经济发展和社会稳定与和谐，特制订本责任状。</w:t>
      </w:r>
    </w:p>
    <w:p w14:paraId="1F7E9A64">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一、目标任务</w:t>
      </w:r>
    </w:p>
    <w:p w14:paraId="15CA7D50">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努力完成公司及场下达行业领域内安全死亡责任事故为零的安全生产控制指标任务，防范养殖生产经营领域安全生产事故发生，保障经济社会健康持续发展。</w:t>
      </w:r>
    </w:p>
    <w:p w14:paraId="54CF8D59">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二、具体职责</w:t>
      </w:r>
    </w:p>
    <w:p w14:paraId="396FF2AA">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1.甲方要紧紧围绕养殖生产质量安全监管为中心，以长效机制的建设为重点，以落实目标责任制、加大宣传和查处力度、强化服务指导为手段加强生产环节监管力度。指导、监督乙方落实安全生产管理责任，加强  对水产养殖业的安全管理，宣传和推广安全养殖知识，防范养殖过程中各类安全事故的发生。</w:t>
      </w:r>
    </w:p>
    <w:p w14:paraId="2855B6C6">
      <w:pPr>
        <w:spacing w:line="54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2.落实责任，强化源头治理。乙方作为安全生产的第一责任人，对安全生产责任负全责，在生产中所发生的人身伤亡、火灾事故及经济损失由  乙方自行负责。乙方应主动接受甲方及上级部门的安全检查和监督，对于所提出的安全隐患必须立刻整改，否则，甲方有权利没收乙方履约保证金。</w:t>
      </w:r>
    </w:p>
    <w:p w14:paraId="5CFC0EEF">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3.甲方应广泛宣传水产品质量安全法规，提高水产品质量安全法规的安全意识，促进水产养殖业协调可持续发展。认真贯彻执行国家《中华人  民共和国渔业法》、《中华人民共和国农产品质量安全法》、《饲料和饲料添加剂管理条例》等，深化行政许可制度，严把市场准入关，严格  按照法律法规的规定，统一审查尺度，严格审查，强化服务意识，对检查中发现的问题及时提出整改意见，督促乙方继续完善养殖条件和质量保证体系，保证和提高水产品质量；对有违法违规问题的养殖企业或个人，在责令限期整改的同时，依法作出严厉处罚</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并纳入“不受欢迎竞租人名单”</w:t>
      </w:r>
      <w:r>
        <w:rPr>
          <w:rFonts w:hint="eastAsia" w:ascii="仿宋" w:hAnsi="仿宋" w:eastAsia="仿宋"/>
          <w:color w:val="auto"/>
          <w:sz w:val="28"/>
          <w:szCs w:val="28"/>
          <w:highlight w:val="none"/>
        </w:rPr>
        <w:t>；对不具备养殖条件和存在重大违法行为的依法注销或撤销许可。</w:t>
      </w:r>
    </w:p>
    <w:p w14:paraId="0720BF7F">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三、其他</w:t>
      </w:r>
    </w:p>
    <w:p w14:paraId="4D40C84E">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1.本责任状一式肆份，甲方执叁份、乙方执壹份。</w:t>
      </w:r>
    </w:p>
    <w:p w14:paraId="6A031E38">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2.本责任状解释权属于甲方。</w:t>
      </w:r>
    </w:p>
    <w:p w14:paraId="1CB3BE37">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3.本责任状签署于20</w:t>
      </w:r>
      <w:r>
        <w:rPr>
          <w:rFonts w:hint="eastAsia"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5</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55DA9779">
      <w:pPr>
        <w:ind w:firstLine="565" w:firstLineChars="202"/>
        <w:rPr>
          <w:rFonts w:ascii="仿宋" w:hAnsi="仿宋" w:eastAsia="仿宋"/>
          <w:color w:val="auto"/>
          <w:sz w:val="28"/>
          <w:szCs w:val="28"/>
          <w:highlight w:val="none"/>
        </w:rPr>
      </w:pPr>
    </w:p>
    <w:p w14:paraId="73283150">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甲方(盖章)： </w:t>
      </w:r>
    </w:p>
    <w:p w14:paraId="59FA390A">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代表：</w:t>
      </w:r>
    </w:p>
    <w:p w14:paraId="181D011D">
      <w:pPr>
        <w:ind w:firstLine="565" w:firstLineChars="202"/>
        <w:rPr>
          <w:rFonts w:ascii="仿宋" w:hAnsi="仿宋" w:eastAsia="仿宋"/>
          <w:color w:val="auto"/>
          <w:sz w:val="28"/>
          <w:szCs w:val="28"/>
          <w:highlight w:val="none"/>
        </w:rPr>
      </w:pPr>
    </w:p>
    <w:p w14:paraId="233F0CD7">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乙方(盖章、签名手印)：</w:t>
      </w:r>
    </w:p>
    <w:p w14:paraId="189D6CF6">
      <w:pPr>
        <w:spacing w:line="360" w:lineRule="auto"/>
        <w:ind w:firstLine="565" w:firstLineChars="202"/>
        <w:rPr>
          <w:rFonts w:ascii="仿宋" w:hAnsi="仿宋" w:eastAsia="仿宋"/>
          <w:color w:val="auto"/>
          <w:sz w:val="28"/>
          <w:szCs w:val="28"/>
          <w:highlight w:val="none"/>
        </w:rPr>
      </w:pPr>
    </w:p>
    <w:p w14:paraId="1B51965C">
      <w:pPr>
        <w:spacing w:line="360" w:lineRule="auto"/>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5C4AD693">
      <w:pPr>
        <w:spacing w:line="360" w:lineRule="auto"/>
        <w:ind w:firstLine="568" w:firstLineChars="202"/>
        <w:rPr>
          <w:rFonts w:ascii="幼圆" w:hAnsi="宋体" w:eastAsia="幼圆"/>
          <w:b/>
          <w:color w:val="auto"/>
          <w:sz w:val="28"/>
          <w:szCs w:val="28"/>
          <w:highlight w:val="none"/>
        </w:rPr>
      </w:pPr>
      <w:r>
        <w:rPr>
          <w:rFonts w:hint="eastAsia" w:ascii="幼圆" w:hAnsi="宋体" w:eastAsia="幼圆"/>
          <w:b/>
          <w:color w:val="auto"/>
          <w:sz w:val="28"/>
          <w:szCs w:val="28"/>
          <w:highlight w:val="none"/>
        </w:rPr>
        <w:t xml:space="preserve">附件8: </w:t>
      </w:r>
      <w:r>
        <w:rPr>
          <w:rFonts w:hint="eastAsia" w:ascii="幼圆" w:hAnsi="宋体" w:eastAsia="幼圆"/>
          <w:b/>
          <w:color w:val="auto"/>
          <w:sz w:val="28"/>
          <w:szCs w:val="28"/>
          <w:highlight w:val="none"/>
          <w:lang w:eastAsia="zh-CN"/>
        </w:rPr>
        <w:t>《</w:t>
      </w:r>
      <w:r>
        <w:rPr>
          <w:rFonts w:hint="eastAsia" w:ascii="幼圆" w:hAnsi="宋体" w:eastAsia="幼圆"/>
          <w:b/>
          <w:color w:val="auto"/>
          <w:sz w:val="28"/>
          <w:szCs w:val="28"/>
          <w:highlight w:val="none"/>
        </w:rPr>
        <w:t>海淡水养殖管理规定</w:t>
      </w:r>
      <w:r>
        <w:rPr>
          <w:rFonts w:hint="eastAsia" w:ascii="幼圆" w:hAnsi="宋体" w:eastAsia="幼圆"/>
          <w:b/>
          <w:color w:val="auto"/>
          <w:sz w:val="28"/>
          <w:szCs w:val="28"/>
          <w:highlight w:val="none"/>
          <w:lang w:eastAsia="zh-CN"/>
        </w:rPr>
        <w:t>》</w:t>
      </w:r>
    </w:p>
    <w:p w14:paraId="72B374DD">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海淡水养殖管理规定</w:t>
      </w:r>
    </w:p>
    <w:p w14:paraId="0205AD13">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为鼓励水产养殖单位和个人发展健康养殖，减少水产养殖病害发生；控制养殖用药，保证养殖水产品质量安全；推广生态养殖，保护养殖环境。根据《中华人民共和国渔业法》等法律、行政法规，制定本条例：</w:t>
      </w:r>
    </w:p>
    <w:p w14:paraId="3B5F3E5F">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第一章 养殖用水</w:t>
      </w:r>
    </w:p>
    <w:p w14:paraId="58B43BDA">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第一条 水产养殖用水应当符合农业部《无公害食品海水养殖用水水质》(NY5052-200)或《无公害食品淡水养殖用水水质》(NY5051-2001)等标准，禁止将不符合水质标准的水源用于水产养殖。</w:t>
      </w:r>
    </w:p>
    <w:p w14:paraId="3B931C3C">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第二条 水产养殖单位和个人应当定期监测养殖用水水质。</w:t>
      </w:r>
    </w:p>
    <w:p w14:paraId="04CF22BC">
      <w:pPr>
        <w:spacing w:line="56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养殖用水水源受到污染时，应当立即停止使用；确需使用的，应当经过净化处理达到养殖用水水质标准。</w:t>
      </w:r>
    </w:p>
    <w:p w14:paraId="148F045F">
      <w:pPr>
        <w:spacing w:line="56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养殖水体水质不符合养殖用水水质标准时，应当立即采取措施进行处理。经处理后仍达不到要求的，应当停止养殖活动，并向当地渔业行政主管部门报告。</w:t>
      </w:r>
    </w:p>
    <w:p w14:paraId="6BD0CE05">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第三条 养殖场或池塘的进排水系统应当分开。水产养殖废水排放应当达到国家规定的排放标准。</w:t>
      </w:r>
    </w:p>
    <w:p w14:paraId="4C90A63F">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第二章 养殖生产</w:t>
      </w:r>
    </w:p>
    <w:p w14:paraId="50F1B8D2">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第四条 应当根据水产养殖规划要求，合理确定用于水产养殖的水域和滩涂，同时根据水域滩涂环境状况划分养殖功能区，合理安排养殖生产布局，科学确定养殖规模、养殖方式。</w:t>
      </w:r>
    </w:p>
    <w:p w14:paraId="0450CAA8">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第五条 使用水域、滩涂从事水产养殖的单位和个人应当按有关规定申领养殖证，并按核准的区域、规模从事养殖生产。</w:t>
      </w:r>
    </w:p>
    <w:p w14:paraId="36AC65BA">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第六条 水产养殖生产应当符合国家有关养殖技术规范操作要求。水产养殖单位和个人应当配置与养殖水体和生产能力相适应的水处理设施和相应的水质、水生生物检测等基础性仪器设备。水产养殖使用的苗种应当符合国家或地方质量标准。</w:t>
      </w:r>
    </w:p>
    <w:p w14:paraId="63381BA0">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第七条 水产养殖专业技术人员应当逐步按国家有关就业准入要求，经过职业技能培训并获得职业资格证书后，方能上岗。</w:t>
      </w:r>
    </w:p>
    <w:p w14:paraId="4D0B130B">
      <w:pPr>
        <w:spacing w:line="56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第八条 水产养殖单位和个人应当填写《水产养殖生产记录》,记载养殖种类、苗种来源及生长情况、饲料来源及投喂情况、水质变化等内容。《水产养殖生产记录》应当保存至该批水产品全部销售后2年以上。</w:t>
      </w:r>
    </w:p>
    <w:p w14:paraId="033FE99C">
      <w:pPr>
        <w:spacing w:line="56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第九条 销售的养殖水产品应当符合国家或地方的有关标准。不符合标准的产品应当进行净化处理，净化处理后仍不符合标准的产品禁止销售。    </w:t>
      </w:r>
    </w:p>
    <w:p w14:paraId="3784E7C3">
      <w:pPr>
        <w:spacing w:line="56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第十条 使用渔用饲料应当符合《饲料和饲料添加剂管理条例》和农业部《无公害食品渔用饲料安全限量》(NY5072-2002)。鼓励使用配合饲料限制直接投喂冰鲜(冻)饵料，防止残饵污染水质。禁止使用无产品质量标准、无质量检验合格证、无生产许可证和产品批准文号的饲料、饲料添加剂。禁止使用变质和过期饲料。</w:t>
      </w:r>
    </w:p>
    <w:p w14:paraId="3CCF8D0A">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第十一条 使用水产养殖用药应当符合《兽药管理条例》和农业部《无公害食品渔药使用准则》(NY5071-2002)。使用药物的养殖水产品在休药期内不得用于人类食品消费。禁止使用假、劣兽药及农业部规定禁止使用的药品、其他化合物和生物制剂。原料药不得直接用于水产养殖。</w:t>
      </w:r>
    </w:p>
    <w:p w14:paraId="16BB63F8">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第十二条 水产养殖单位和个人应当按照水产养殖用药使用说明书的要求或在水生生物病害防治员的指导下科学用药。水生生物病害防治员应当按照有关就业准入的要求，经过职业技能培训并获得职业资格证书后，方能上岗。</w:t>
      </w:r>
    </w:p>
    <w:p w14:paraId="2B9312CF">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第十三条 水产养殖单位和个人应当填写《水产养殖用药记录》,记载病害发生情况，主要症状，用药名称、时间、用量等内容。《水产养殖用药记录》应当保存至该批水产品全部销售后2年以上。水产养殖单位和个人应当接受县级以上人民政府渔业行政主管部门组织的养殖水产品药物残留抽样检测。</w:t>
      </w:r>
    </w:p>
    <w:p w14:paraId="1DEAFA51">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第三章 附则</w:t>
      </w:r>
    </w:p>
    <w:p w14:paraId="1BE8FC46">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本条例自养殖池塘承包合同签订生效日起施行，对承包人具有约束力，并构成租赁合同的组成部分。</w:t>
      </w:r>
    </w:p>
    <w:p w14:paraId="43C09839">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317F5CDB">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承租人签字确认：</w:t>
      </w:r>
    </w:p>
    <w:p w14:paraId="45843704">
      <w:pPr>
        <w:spacing w:line="560" w:lineRule="exact"/>
        <w:ind w:firstLine="565" w:firstLineChars="202"/>
        <w:rPr>
          <w:rFonts w:ascii="仿宋" w:hAnsi="仿宋" w:eastAsia="仿宋"/>
          <w:color w:val="auto"/>
          <w:sz w:val="28"/>
          <w:szCs w:val="28"/>
          <w:highlight w:val="none"/>
        </w:rPr>
      </w:pPr>
    </w:p>
    <w:p w14:paraId="1E6A359C">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二〇</w:t>
      </w:r>
      <w:r>
        <w:rPr>
          <w:rFonts w:hint="eastAsia" w:ascii="仿宋" w:hAnsi="仿宋" w:eastAsia="仿宋"/>
          <w:color w:val="auto"/>
          <w:sz w:val="28"/>
          <w:szCs w:val="28"/>
          <w:highlight w:val="none"/>
          <w:u w:val="single"/>
        </w:rPr>
        <w:t>二</w:t>
      </w:r>
      <w:r>
        <w:rPr>
          <w:rFonts w:hint="eastAsia" w:ascii="仿宋" w:hAnsi="仿宋" w:eastAsia="仿宋"/>
          <w:color w:val="auto"/>
          <w:sz w:val="28"/>
          <w:szCs w:val="28"/>
          <w:highlight w:val="none"/>
          <w:u w:val="single"/>
          <w:lang w:val="en-US" w:eastAsia="zh-CN"/>
        </w:rPr>
        <w:t>五</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3EF8E730">
      <w:pPr>
        <w:spacing w:line="560" w:lineRule="exact"/>
        <w:rPr>
          <w:rFonts w:ascii="仿宋" w:hAnsi="仿宋" w:eastAsia="仿宋"/>
          <w:color w:val="auto"/>
          <w:sz w:val="28"/>
          <w:szCs w:val="28"/>
          <w:highlight w:val="none"/>
        </w:rPr>
      </w:pPr>
    </w:p>
    <w:p w14:paraId="251D2BF5">
      <w:pPr>
        <w:spacing w:line="360" w:lineRule="auto"/>
        <w:rPr>
          <w:rFonts w:ascii="宋体" w:hAnsi="宋体"/>
          <w:color w:val="auto"/>
          <w:sz w:val="28"/>
          <w:szCs w:val="28"/>
          <w:highlight w:val="none"/>
        </w:rPr>
      </w:pPr>
    </w:p>
    <w:p w14:paraId="0AC483F7">
      <w:pPr>
        <w:spacing w:line="360" w:lineRule="auto"/>
        <w:rPr>
          <w:rFonts w:ascii="宋体" w:hAnsi="宋体"/>
          <w:color w:val="auto"/>
          <w:sz w:val="28"/>
          <w:szCs w:val="28"/>
          <w:highlight w:val="none"/>
        </w:rPr>
      </w:pPr>
    </w:p>
    <w:p w14:paraId="3274D3F5">
      <w:pPr>
        <w:spacing w:line="360" w:lineRule="auto"/>
        <w:rPr>
          <w:rFonts w:ascii="宋体" w:hAnsi="宋体"/>
          <w:color w:val="auto"/>
          <w:sz w:val="28"/>
          <w:szCs w:val="28"/>
          <w:highlight w:val="none"/>
        </w:rPr>
      </w:pPr>
    </w:p>
    <w:p w14:paraId="23FA32DB">
      <w:pPr>
        <w:spacing w:line="360" w:lineRule="auto"/>
        <w:rPr>
          <w:rFonts w:ascii="宋体" w:hAnsi="宋体"/>
          <w:color w:val="auto"/>
          <w:sz w:val="28"/>
          <w:szCs w:val="28"/>
          <w:highlight w:val="none"/>
        </w:rPr>
      </w:pPr>
    </w:p>
    <w:p w14:paraId="351C238B">
      <w:pPr>
        <w:spacing w:line="360" w:lineRule="auto"/>
        <w:rPr>
          <w:rFonts w:ascii="宋体" w:hAnsi="宋体"/>
          <w:color w:val="auto"/>
          <w:sz w:val="28"/>
          <w:szCs w:val="28"/>
          <w:highlight w:val="none"/>
        </w:rPr>
      </w:pPr>
    </w:p>
    <w:p w14:paraId="2D6DE150">
      <w:pPr>
        <w:spacing w:line="360" w:lineRule="auto"/>
        <w:rPr>
          <w:rFonts w:ascii="宋体" w:hAnsi="宋体"/>
          <w:color w:val="auto"/>
          <w:sz w:val="28"/>
          <w:szCs w:val="28"/>
          <w:highlight w:val="none"/>
        </w:rPr>
      </w:pPr>
    </w:p>
    <w:p w14:paraId="4FFD85BB">
      <w:pPr>
        <w:spacing w:line="360" w:lineRule="auto"/>
        <w:rPr>
          <w:rFonts w:ascii="宋体" w:hAnsi="宋体"/>
          <w:color w:val="auto"/>
          <w:sz w:val="28"/>
          <w:szCs w:val="28"/>
          <w:highlight w:val="none"/>
        </w:rPr>
      </w:pPr>
    </w:p>
    <w:p w14:paraId="11BC4BFA">
      <w:pPr>
        <w:spacing w:line="360" w:lineRule="auto"/>
        <w:jc w:val="left"/>
        <w:rPr>
          <w:rFonts w:ascii="幼圆" w:hAnsi="宋体" w:eastAsia="幼圆"/>
          <w:b/>
          <w:color w:val="auto"/>
          <w:sz w:val="28"/>
          <w:szCs w:val="28"/>
          <w:highlight w:val="none"/>
        </w:rPr>
      </w:pPr>
      <w:r>
        <w:rPr>
          <w:rFonts w:hint="eastAsia" w:ascii="幼圆" w:hAnsi="宋体" w:eastAsia="幼圆"/>
          <w:b/>
          <w:color w:val="auto"/>
          <w:sz w:val="28"/>
          <w:szCs w:val="28"/>
          <w:highlight w:val="none"/>
        </w:rPr>
        <w:t>附件9: 租赁资产交接确认单</w:t>
      </w:r>
    </w:p>
    <w:p w14:paraId="5F83186A">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租赁资产交接确认单</w:t>
      </w:r>
    </w:p>
    <w:p w14:paraId="12359278">
      <w:pPr>
        <w:spacing w:line="560" w:lineRule="exact"/>
        <w:ind w:firstLine="565" w:firstLineChars="202"/>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甲方(出租人):盐城市灌东盐场发展有限公司</w:t>
      </w:r>
    </w:p>
    <w:p w14:paraId="2B33FDEC">
      <w:pPr>
        <w:spacing w:line="56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乙方(承租人):</w:t>
      </w:r>
      <w:r>
        <w:rPr>
          <w:rFonts w:hint="eastAsia" w:ascii="仿宋" w:hAnsi="仿宋" w:eastAsia="仿宋"/>
          <w:color w:val="auto"/>
          <w:sz w:val="28"/>
          <w:szCs w:val="28"/>
          <w:highlight w:val="none"/>
          <w:u w:val="single"/>
        </w:rPr>
        <w:t xml:space="preserve">                          </w:t>
      </w:r>
    </w:p>
    <w:p w14:paraId="2F309AE8">
      <w:pPr>
        <w:spacing w:line="560" w:lineRule="exact"/>
        <w:ind w:firstLine="565" w:firstLineChars="202"/>
        <w:rPr>
          <w:rFonts w:ascii="仿宋" w:hAnsi="仿宋" w:eastAsia="仿宋"/>
          <w:color w:val="auto"/>
          <w:sz w:val="28"/>
          <w:szCs w:val="28"/>
          <w:highlight w:val="none"/>
        </w:rPr>
      </w:pPr>
    </w:p>
    <w:p w14:paraId="3F71E5CA">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一、出租人（甲方）与承租人（乙方）于20</w:t>
      </w:r>
      <w:r>
        <w:rPr>
          <w:rFonts w:hint="eastAsia"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5</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日签署的编号为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《池塘租赁合同》中所载明的租赁物，</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日已经全部交付给乙方接收和使用。在此，乙方确认已经收到租赁合同项下的全部租赁物，并认可所有租赁物符合租赁合同的相关约定。</w:t>
      </w:r>
    </w:p>
    <w:p w14:paraId="0D7A9999">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二、水、电、路及涵闸、值班房等附属设施均以目前现状交于乙方。经实地勘察，乙方认为上述附属设施完全符合双方签订的《池塘租赁合同书》的相关约定。</w:t>
      </w:r>
    </w:p>
    <w:p w14:paraId="1D2EBD29">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三、乙方确认上述租赁物及其附属设施设备已经全部收到，并认可其实际状况，同意予以接受。今后，乙方不再对租赁物提出任何异议。</w:t>
      </w:r>
    </w:p>
    <w:p w14:paraId="18B10343">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四、本交接单作为租赁合同的附件，系租赁合同书的不可分割的部分，具有同等法律效力。</w:t>
      </w:r>
    </w:p>
    <w:p w14:paraId="06C71CAC">
      <w:pPr>
        <w:spacing w:line="560" w:lineRule="exact"/>
        <w:ind w:firstLine="565" w:firstLineChars="202"/>
        <w:rPr>
          <w:rFonts w:ascii="仿宋" w:hAnsi="仿宋" w:eastAsia="仿宋"/>
          <w:color w:val="auto"/>
          <w:sz w:val="28"/>
          <w:szCs w:val="28"/>
          <w:highlight w:val="none"/>
        </w:rPr>
      </w:pPr>
    </w:p>
    <w:p w14:paraId="10B6261F">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接收方确认(盖章、签名手印):</w:t>
      </w:r>
    </w:p>
    <w:p w14:paraId="19691AA3">
      <w:pPr>
        <w:spacing w:line="560" w:lineRule="exact"/>
        <w:ind w:firstLine="565" w:firstLineChars="202"/>
        <w:rPr>
          <w:rFonts w:ascii="仿宋" w:hAnsi="仿宋" w:eastAsia="仿宋"/>
          <w:color w:val="auto"/>
          <w:sz w:val="28"/>
          <w:szCs w:val="28"/>
          <w:highlight w:val="none"/>
        </w:rPr>
      </w:pPr>
    </w:p>
    <w:p w14:paraId="70AFD43C">
      <w:pPr>
        <w:spacing w:line="560" w:lineRule="exact"/>
        <w:ind w:firstLine="565" w:firstLineChars="202"/>
        <w:rPr>
          <w:rFonts w:ascii="宋体" w:hAnsi="宋体"/>
          <w:b/>
          <w:color w:val="auto"/>
          <w:sz w:val="28"/>
          <w:szCs w:val="28"/>
          <w:highlight w:val="none"/>
        </w:rPr>
      </w:pPr>
      <w:r>
        <w:rPr>
          <w:rFonts w:hint="eastAsia" w:ascii="仿宋" w:hAnsi="仿宋" w:eastAsia="仿宋"/>
          <w:color w:val="auto"/>
          <w:sz w:val="28"/>
          <w:szCs w:val="28"/>
          <w:highlight w:val="none"/>
        </w:rPr>
        <w:t>二〇</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79D596BF">
      <w:pPr>
        <w:spacing w:line="360" w:lineRule="auto"/>
        <w:jc w:val="center"/>
        <w:rPr>
          <w:rFonts w:ascii="宋体" w:hAnsi="宋体"/>
          <w:b/>
          <w:color w:val="auto"/>
          <w:sz w:val="28"/>
          <w:szCs w:val="28"/>
          <w:highlight w:val="none"/>
        </w:rPr>
      </w:pPr>
    </w:p>
    <w:p w14:paraId="71F21946">
      <w:pPr>
        <w:spacing w:line="360" w:lineRule="auto"/>
        <w:jc w:val="left"/>
        <w:rPr>
          <w:rFonts w:hint="eastAsia" w:ascii="幼圆" w:hAnsi="宋体" w:eastAsia="幼圆"/>
          <w:b/>
          <w:color w:val="auto"/>
          <w:sz w:val="28"/>
          <w:szCs w:val="28"/>
          <w:highlight w:val="none"/>
        </w:rPr>
      </w:pPr>
    </w:p>
    <w:p w14:paraId="2CB17278">
      <w:pPr>
        <w:spacing w:line="360" w:lineRule="auto"/>
        <w:jc w:val="left"/>
        <w:rPr>
          <w:rFonts w:hint="eastAsia" w:ascii="幼圆" w:hAnsi="宋体" w:eastAsia="幼圆"/>
          <w:b/>
          <w:color w:val="auto"/>
          <w:sz w:val="28"/>
          <w:szCs w:val="28"/>
          <w:highlight w:val="none"/>
        </w:rPr>
      </w:pPr>
    </w:p>
    <w:p w14:paraId="5876F852">
      <w:pPr>
        <w:spacing w:line="360" w:lineRule="auto"/>
        <w:jc w:val="left"/>
        <w:rPr>
          <w:rFonts w:ascii="幼圆" w:hAnsi="宋体" w:eastAsia="幼圆"/>
          <w:b/>
          <w:color w:val="auto"/>
          <w:sz w:val="28"/>
          <w:szCs w:val="28"/>
          <w:highlight w:val="none"/>
        </w:rPr>
      </w:pPr>
      <w:r>
        <w:rPr>
          <w:rFonts w:hint="eastAsia" w:ascii="幼圆" w:hAnsi="宋体" w:eastAsia="幼圆"/>
          <w:b/>
          <w:color w:val="auto"/>
          <w:sz w:val="28"/>
          <w:szCs w:val="28"/>
          <w:highlight w:val="none"/>
        </w:rPr>
        <w:t>附件10: 确认书</w:t>
      </w:r>
    </w:p>
    <w:p w14:paraId="6A25FB18">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确 认 书</w:t>
      </w:r>
    </w:p>
    <w:p w14:paraId="1C04F854">
      <w:pPr>
        <w:spacing w:line="56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我方与贵司于20</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日签署了编号为</w:t>
      </w:r>
      <w:r>
        <w:rPr>
          <w:rFonts w:hint="eastAsia" w:ascii="仿宋" w:hAnsi="仿宋" w:eastAsia="仿宋"/>
          <w:color w:val="auto"/>
          <w:sz w:val="28"/>
          <w:szCs w:val="28"/>
          <w:highlight w:val="none"/>
          <w:u w:val="single"/>
        </w:rPr>
        <w:t xml:space="preserve">                 </w:t>
      </w:r>
    </w:p>
    <w:p w14:paraId="4D0FC077">
      <w:pPr>
        <w:spacing w:line="560" w:lineRule="exact"/>
        <w:rPr>
          <w:rFonts w:ascii="仿宋" w:hAnsi="仿宋" w:eastAsia="仿宋"/>
          <w:color w:val="auto"/>
          <w:sz w:val="28"/>
          <w:szCs w:val="28"/>
          <w:highlight w:val="none"/>
        </w:rPr>
      </w:pPr>
      <w:r>
        <w:rPr>
          <w:rFonts w:hint="eastAsia" w:ascii="仿宋" w:hAnsi="仿宋" w:eastAsia="仿宋"/>
          <w:color w:val="auto"/>
          <w:sz w:val="28"/>
          <w:szCs w:val="28"/>
          <w:highlight w:val="none"/>
        </w:rPr>
        <w:t>养殖池塘租赁合同（池塘承包合同），承租/承包了贵方经营管理的位于</w:t>
      </w:r>
    </w:p>
    <w:p w14:paraId="4F316063">
      <w:pPr>
        <w:spacing w:line="560" w:lineRule="exact"/>
        <w:rPr>
          <w:rFonts w:ascii="仿宋" w:hAnsi="仿宋" w:eastAsia="仿宋"/>
          <w:color w:val="auto"/>
          <w:sz w:val="28"/>
          <w:szCs w:val="28"/>
          <w:highlight w:val="none"/>
          <w:u w:val="single"/>
        </w:rPr>
      </w:pP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的池塘/水库，合计</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块，合计</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亩。现该租赁/承包合同的期限已经届满，且知悉贵方拟对上述我方承租的池塘/水库对外进行公开竞租。对此，我方确认如下：</w:t>
      </w:r>
    </w:p>
    <w:p w14:paraId="2BC65391">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1、我方将按照贵方公布的</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池塘招租方案的相关要求，及时报名参加上述池塘/水库的竞租。作为上述池塘/水库的原承租人，我方要求在本次招租过程中对上述池塘/水库享有在同等条件下的优先承租权。</w:t>
      </w:r>
    </w:p>
    <w:p w14:paraId="42464350">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在本次公开竞租过程中，如果我方没有报名参加竞租上述池塘/水库的或者报名参加竞租但最终未能中标的，我方保证在原合同约定时间内清塘并向贵方交还上述池塘。如我方没有按时交还池塘的，我方同意承担贵方由此蒙受的所有经济损失并承担原租赁合同约定的各项违约责任。</w:t>
      </w:r>
    </w:p>
    <w:p w14:paraId="7172EB07">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3、担保人对确认人（原承租人）的上述赔偿责任承担担保责任。</w:t>
      </w:r>
    </w:p>
    <w:p w14:paraId="6DF0EC3E">
      <w:pPr>
        <w:spacing w:line="560" w:lineRule="exact"/>
        <w:ind w:firstLine="565" w:firstLineChars="202"/>
        <w:rPr>
          <w:rFonts w:ascii="仿宋" w:hAnsi="仿宋" w:eastAsia="仿宋"/>
          <w:color w:val="auto"/>
          <w:sz w:val="28"/>
          <w:szCs w:val="28"/>
          <w:highlight w:val="none"/>
        </w:rPr>
      </w:pPr>
    </w:p>
    <w:p w14:paraId="16DCFBCA">
      <w:pPr>
        <w:spacing w:line="560" w:lineRule="exact"/>
        <w:ind w:firstLine="565" w:firstLineChars="202"/>
        <w:rPr>
          <w:rFonts w:ascii="仿宋" w:hAnsi="仿宋" w:eastAsia="仿宋"/>
          <w:color w:val="auto"/>
          <w:sz w:val="28"/>
          <w:szCs w:val="28"/>
          <w:highlight w:val="none"/>
        </w:rPr>
      </w:pPr>
      <w:r>
        <w:rPr>
          <w:rFonts w:ascii="仿宋" w:hAnsi="仿宋" w:eastAsia="仿宋"/>
          <w:color w:val="auto"/>
          <w:sz w:val="28"/>
          <w:szCs w:val="28"/>
          <w:highlight w:val="none"/>
        </w:rPr>
        <w:t>确认人</w:t>
      </w:r>
      <w:r>
        <w:rPr>
          <w:rFonts w:hint="eastAsia" w:ascii="仿宋" w:hAnsi="仿宋" w:eastAsia="仿宋"/>
          <w:color w:val="auto"/>
          <w:sz w:val="28"/>
          <w:szCs w:val="28"/>
          <w:highlight w:val="none"/>
        </w:rPr>
        <w:t>（盖章、签名手印）:</w:t>
      </w:r>
    </w:p>
    <w:p w14:paraId="055BD9B9">
      <w:pPr>
        <w:spacing w:line="560" w:lineRule="exact"/>
        <w:ind w:firstLine="565" w:firstLineChars="202"/>
        <w:rPr>
          <w:rFonts w:ascii="仿宋" w:hAnsi="仿宋" w:eastAsia="仿宋"/>
          <w:color w:val="auto"/>
          <w:sz w:val="28"/>
          <w:szCs w:val="28"/>
          <w:highlight w:val="none"/>
        </w:rPr>
      </w:pPr>
    </w:p>
    <w:p w14:paraId="2ACC41E8">
      <w:pPr>
        <w:spacing w:line="56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担保人（盖章、签名手印）：</w:t>
      </w:r>
    </w:p>
    <w:p w14:paraId="5868DF3D">
      <w:pPr>
        <w:spacing w:line="560" w:lineRule="exact"/>
        <w:ind w:firstLine="565" w:firstLineChars="202"/>
        <w:rPr>
          <w:rFonts w:ascii="仿宋" w:hAnsi="仿宋" w:eastAsia="仿宋"/>
          <w:color w:val="auto"/>
          <w:sz w:val="28"/>
          <w:szCs w:val="28"/>
          <w:highlight w:val="none"/>
        </w:rPr>
      </w:pPr>
    </w:p>
    <w:p w14:paraId="76F0F65A">
      <w:pPr>
        <w:spacing w:line="560" w:lineRule="exact"/>
        <w:ind w:firstLine="565" w:firstLineChars="202"/>
        <w:rPr>
          <w:rFonts w:ascii="仿宋" w:hAnsi="仿宋" w:eastAsia="仿宋"/>
          <w:b/>
          <w:color w:val="auto"/>
          <w:sz w:val="28"/>
          <w:szCs w:val="28"/>
          <w:highlight w:val="none"/>
        </w:rPr>
      </w:pPr>
      <w:r>
        <w:rPr>
          <w:rFonts w:hint="eastAsia" w:ascii="仿宋" w:hAnsi="仿宋" w:eastAsia="仿宋"/>
          <w:color w:val="auto"/>
          <w:sz w:val="28"/>
          <w:szCs w:val="28"/>
          <w:highlight w:val="none"/>
        </w:rPr>
        <w:t>二〇</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日</w:t>
      </w:r>
    </w:p>
    <w:p w14:paraId="7FACD092">
      <w:pPr>
        <w:spacing w:line="360" w:lineRule="auto"/>
        <w:rPr>
          <w:rFonts w:ascii="幼圆" w:hAnsi="宋体" w:eastAsia="幼圆"/>
          <w:b/>
          <w:color w:val="auto"/>
          <w:sz w:val="28"/>
          <w:szCs w:val="28"/>
          <w:highlight w:val="none"/>
        </w:rPr>
      </w:pPr>
    </w:p>
    <w:p w14:paraId="0D7698B9">
      <w:pPr>
        <w:spacing w:line="360" w:lineRule="auto"/>
        <w:rPr>
          <w:rFonts w:ascii="幼圆" w:hAnsi="宋体" w:eastAsia="幼圆"/>
          <w:b/>
          <w:color w:val="auto"/>
          <w:sz w:val="28"/>
          <w:szCs w:val="28"/>
          <w:highlight w:val="none"/>
        </w:rPr>
      </w:pPr>
    </w:p>
    <w:p w14:paraId="1E5C2193">
      <w:pPr>
        <w:spacing w:line="360" w:lineRule="auto"/>
        <w:rPr>
          <w:rFonts w:ascii="幼圆" w:hAnsi="宋体" w:eastAsia="幼圆"/>
          <w:b/>
          <w:color w:val="auto"/>
          <w:sz w:val="28"/>
          <w:szCs w:val="28"/>
          <w:highlight w:val="none"/>
        </w:rPr>
      </w:pPr>
    </w:p>
    <w:p w14:paraId="6127F42C">
      <w:pPr>
        <w:spacing w:line="360" w:lineRule="auto"/>
        <w:rPr>
          <w:rFonts w:ascii="幼圆" w:hAnsi="宋体" w:eastAsia="幼圆"/>
          <w:b/>
          <w:color w:val="auto"/>
          <w:sz w:val="28"/>
          <w:szCs w:val="28"/>
          <w:highlight w:val="none"/>
        </w:rPr>
      </w:pPr>
      <w:r>
        <w:rPr>
          <w:rFonts w:hint="eastAsia" w:ascii="幼圆" w:hAnsi="宋体" w:eastAsia="幼圆"/>
          <w:b/>
          <w:color w:val="auto"/>
          <w:sz w:val="28"/>
          <w:szCs w:val="28"/>
          <w:highlight w:val="none"/>
        </w:rPr>
        <w:t>附件11：竞租报价表</w:t>
      </w:r>
    </w:p>
    <w:p w14:paraId="5EB57B13">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竞租报价表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3118"/>
        <w:gridCol w:w="2410"/>
        <w:gridCol w:w="1134"/>
      </w:tblGrid>
      <w:tr w14:paraId="4DFA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3104084A">
            <w:pPr>
              <w:spacing w:line="400" w:lineRule="exact"/>
              <w:jc w:val="center"/>
              <w:rPr>
                <w:rFonts w:ascii="仿宋" w:hAnsi="仿宋" w:eastAsia="仿宋" w:cs="Times New Roman"/>
                <w:b/>
                <w:color w:val="auto"/>
                <w:kern w:val="0"/>
                <w:sz w:val="28"/>
                <w:szCs w:val="28"/>
                <w:highlight w:val="none"/>
              </w:rPr>
            </w:pPr>
            <w:r>
              <w:rPr>
                <w:rFonts w:ascii="仿宋" w:hAnsi="仿宋" w:eastAsia="仿宋" w:cs="Times New Roman"/>
                <w:b/>
                <w:color w:val="auto"/>
                <w:kern w:val="0"/>
                <w:sz w:val="28"/>
                <w:szCs w:val="28"/>
                <w:highlight w:val="none"/>
              </w:rPr>
              <w:t>意向池塘</w:t>
            </w:r>
            <w:r>
              <w:rPr>
                <w:rFonts w:hint="eastAsia" w:ascii="仿宋" w:hAnsi="仿宋" w:eastAsia="仿宋" w:cs="Times New Roman"/>
                <w:b/>
                <w:color w:val="auto"/>
                <w:kern w:val="0"/>
                <w:sz w:val="28"/>
                <w:szCs w:val="28"/>
                <w:highlight w:val="none"/>
              </w:rPr>
              <w:t>标段号</w:t>
            </w:r>
          </w:p>
        </w:tc>
        <w:tc>
          <w:tcPr>
            <w:tcW w:w="3118" w:type="dxa"/>
            <w:vAlign w:val="center"/>
          </w:tcPr>
          <w:p w14:paraId="5C22F480">
            <w:pPr>
              <w:spacing w:line="400" w:lineRule="exact"/>
              <w:jc w:val="center"/>
              <w:rPr>
                <w:rFonts w:ascii="仿宋" w:hAnsi="仿宋" w:eastAsia="仿宋" w:cs="Times New Roman"/>
                <w:b/>
                <w:color w:val="auto"/>
                <w:kern w:val="0"/>
                <w:sz w:val="28"/>
                <w:szCs w:val="28"/>
                <w:highlight w:val="none"/>
              </w:rPr>
            </w:pPr>
            <w:r>
              <w:rPr>
                <w:rFonts w:ascii="仿宋" w:hAnsi="仿宋" w:eastAsia="仿宋" w:cs="Times New Roman"/>
                <w:b/>
                <w:color w:val="auto"/>
                <w:kern w:val="0"/>
                <w:sz w:val="28"/>
                <w:szCs w:val="28"/>
                <w:highlight w:val="none"/>
              </w:rPr>
              <w:t>竞租报价</w:t>
            </w:r>
          </w:p>
          <w:p w14:paraId="6E99F109">
            <w:pPr>
              <w:spacing w:line="400" w:lineRule="exact"/>
              <w:jc w:val="center"/>
              <w:rPr>
                <w:rFonts w:ascii="仿宋" w:hAnsi="仿宋" w:eastAsia="仿宋" w:cs="Times New Roman"/>
                <w:b/>
                <w:color w:val="auto"/>
                <w:kern w:val="0"/>
                <w:sz w:val="28"/>
                <w:szCs w:val="28"/>
                <w:highlight w:val="none"/>
              </w:rPr>
            </w:pPr>
            <w:r>
              <w:rPr>
                <w:rFonts w:hint="eastAsia" w:ascii="仿宋" w:hAnsi="仿宋" w:eastAsia="仿宋" w:cs="Times New Roman"/>
                <w:b/>
                <w:color w:val="auto"/>
                <w:kern w:val="0"/>
                <w:sz w:val="28"/>
                <w:szCs w:val="28"/>
                <w:highlight w:val="none"/>
              </w:rPr>
              <w:t>（每亩每年人民币元）</w:t>
            </w:r>
          </w:p>
        </w:tc>
        <w:tc>
          <w:tcPr>
            <w:tcW w:w="2410" w:type="dxa"/>
            <w:vAlign w:val="center"/>
          </w:tcPr>
          <w:p w14:paraId="0FD1F8FE">
            <w:pPr>
              <w:spacing w:line="400" w:lineRule="exact"/>
              <w:jc w:val="center"/>
              <w:rPr>
                <w:rFonts w:ascii="仿宋" w:hAnsi="仿宋" w:eastAsia="仿宋" w:cs="Times New Roman"/>
                <w:b/>
                <w:color w:val="auto"/>
                <w:kern w:val="0"/>
                <w:sz w:val="28"/>
                <w:szCs w:val="28"/>
                <w:highlight w:val="none"/>
              </w:rPr>
            </w:pPr>
            <w:r>
              <w:rPr>
                <w:rFonts w:ascii="仿宋" w:hAnsi="仿宋" w:eastAsia="仿宋" w:cs="Times New Roman"/>
                <w:b/>
                <w:color w:val="auto"/>
                <w:kern w:val="0"/>
                <w:sz w:val="28"/>
                <w:szCs w:val="28"/>
                <w:highlight w:val="none"/>
              </w:rPr>
              <w:t>是否</w:t>
            </w:r>
            <w:r>
              <w:rPr>
                <w:rFonts w:hint="eastAsia" w:ascii="仿宋" w:hAnsi="仿宋" w:eastAsia="仿宋" w:cs="Times New Roman"/>
                <w:b/>
                <w:color w:val="auto"/>
                <w:kern w:val="0"/>
                <w:sz w:val="28"/>
                <w:szCs w:val="28"/>
                <w:highlight w:val="none"/>
              </w:rPr>
              <w:t>为</w:t>
            </w:r>
            <w:r>
              <w:rPr>
                <w:rFonts w:ascii="仿宋" w:hAnsi="仿宋" w:eastAsia="仿宋" w:cs="Times New Roman"/>
                <w:b/>
                <w:color w:val="auto"/>
                <w:kern w:val="0"/>
                <w:sz w:val="28"/>
                <w:szCs w:val="28"/>
                <w:highlight w:val="none"/>
              </w:rPr>
              <w:t>原承租人</w:t>
            </w:r>
          </w:p>
        </w:tc>
        <w:tc>
          <w:tcPr>
            <w:tcW w:w="1134" w:type="dxa"/>
            <w:vAlign w:val="center"/>
          </w:tcPr>
          <w:p w14:paraId="6EA9F7B1">
            <w:pPr>
              <w:spacing w:line="400" w:lineRule="exact"/>
              <w:jc w:val="center"/>
              <w:rPr>
                <w:rFonts w:ascii="仿宋" w:hAnsi="仿宋" w:eastAsia="仿宋" w:cs="Times New Roman"/>
                <w:b/>
                <w:color w:val="auto"/>
                <w:kern w:val="0"/>
                <w:sz w:val="28"/>
                <w:szCs w:val="28"/>
                <w:highlight w:val="none"/>
              </w:rPr>
            </w:pPr>
            <w:r>
              <w:rPr>
                <w:rFonts w:ascii="仿宋" w:hAnsi="仿宋" w:eastAsia="仿宋" w:cs="Times New Roman"/>
                <w:b/>
                <w:color w:val="auto"/>
                <w:kern w:val="0"/>
                <w:sz w:val="28"/>
                <w:szCs w:val="28"/>
                <w:highlight w:val="none"/>
              </w:rPr>
              <w:t>备注</w:t>
            </w:r>
          </w:p>
        </w:tc>
      </w:tr>
      <w:tr w14:paraId="5E26F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14:paraId="11E62DFC">
            <w:pPr>
              <w:spacing w:line="360" w:lineRule="auto"/>
              <w:rPr>
                <w:rFonts w:ascii="仿宋" w:hAnsi="仿宋" w:eastAsia="仿宋" w:cs="Times New Roman"/>
                <w:color w:val="auto"/>
                <w:kern w:val="0"/>
                <w:sz w:val="28"/>
                <w:szCs w:val="28"/>
                <w:highlight w:val="none"/>
              </w:rPr>
            </w:pPr>
          </w:p>
        </w:tc>
        <w:tc>
          <w:tcPr>
            <w:tcW w:w="3118" w:type="dxa"/>
          </w:tcPr>
          <w:p w14:paraId="4D7DFB91">
            <w:pPr>
              <w:spacing w:line="360" w:lineRule="auto"/>
              <w:rPr>
                <w:rFonts w:ascii="仿宋" w:hAnsi="仿宋" w:eastAsia="仿宋" w:cs="Times New Roman"/>
                <w:color w:val="auto"/>
                <w:kern w:val="0"/>
                <w:sz w:val="28"/>
                <w:szCs w:val="28"/>
                <w:highlight w:val="none"/>
              </w:rPr>
            </w:pPr>
          </w:p>
        </w:tc>
        <w:tc>
          <w:tcPr>
            <w:tcW w:w="2410" w:type="dxa"/>
          </w:tcPr>
          <w:p w14:paraId="401298E1">
            <w:pPr>
              <w:spacing w:line="360" w:lineRule="auto"/>
              <w:rPr>
                <w:rFonts w:ascii="仿宋" w:hAnsi="仿宋" w:eastAsia="仿宋" w:cs="Times New Roman"/>
                <w:color w:val="auto"/>
                <w:kern w:val="0"/>
                <w:sz w:val="28"/>
                <w:szCs w:val="28"/>
                <w:highlight w:val="none"/>
              </w:rPr>
            </w:pPr>
          </w:p>
        </w:tc>
        <w:tc>
          <w:tcPr>
            <w:tcW w:w="1134" w:type="dxa"/>
          </w:tcPr>
          <w:p w14:paraId="60B08CBF">
            <w:pPr>
              <w:spacing w:line="360" w:lineRule="auto"/>
              <w:rPr>
                <w:rFonts w:ascii="仿宋" w:hAnsi="仿宋" w:eastAsia="仿宋" w:cs="Times New Roman"/>
                <w:color w:val="auto"/>
                <w:kern w:val="0"/>
                <w:sz w:val="28"/>
                <w:szCs w:val="28"/>
                <w:highlight w:val="none"/>
              </w:rPr>
            </w:pPr>
          </w:p>
        </w:tc>
      </w:tr>
      <w:tr w14:paraId="6B207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14:paraId="10149D3A">
            <w:pPr>
              <w:spacing w:line="360" w:lineRule="auto"/>
              <w:rPr>
                <w:rFonts w:ascii="仿宋" w:hAnsi="仿宋" w:eastAsia="仿宋" w:cs="Times New Roman"/>
                <w:color w:val="auto"/>
                <w:kern w:val="0"/>
                <w:sz w:val="28"/>
                <w:szCs w:val="28"/>
                <w:highlight w:val="none"/>
              </w:rPr>
            </w:pPr>
          </w:p>
        </w:tc>
        <w:tc>
          <w:tcPr>
            <w:tcW w:w="3118" w:type="dxa"/>
          </w:tcPr>
          <w:p w14:paraId="333558F8">
            <w:pPr>
              <w:spacing w:line="360" w:lineRule="auto"/>
              <w:rPr>
                <w:rFonts w:ascii="仿宋" w:hAnsi="仿宋" w:eastAsia="仿宋" w:cs="Times New Roman"/>
                <w:color w:val="auto"/>
                <w:kern w:val="0"/>
                <w:sz w:val="28"/>
                <w:szCs w:val="28"/>
                <w:highlight w:val="none"/>
              </w:rPr>
            </w:pPr>
          </w:p>
        </w:tc>
        <w:tc>
          <w:tcPr>
            <w:tcW w:w="2410" w:type="dxa"/>
          </w:tcPr>
          <w:p w14:paraId="2EDCD772">
            <w:pPr>
              <w:spacing w:line="360" w:lineRule="auto"/>
              <w:rPr>
                <w:rFonts w:ascii="仿宋" w:hAnsi="仿宋" w:eastAsia="仿宋" w:cs="Times New Roman"/>
                <w:color w:val="auto"/>
                <w:kern w:val="0"/>
                <w:sz w:val="28"/>
                <w:szCs w:val="28"/>
                <w:highlight w:val="none"/>
              </w:rPr>
            </w:pPr>
          </w:p>
        </w:tc>
        <w:tc>
          <w:tcPr>
            <w:tcW w:w="1134" w:type="dxa"/>
          </w:tcPr>
          <w:p w14:paraId="3AF3AB98">
            <w:pPr>
              <w:spacing w:line="360" w:lineRule="auto"/>
              <w:rPr>
                <w:rFonts w:ascii="仿宋" w:hAnsi="仿宋" w:eastAsia="仿宋" w:cs="Times New Roman"/>
                <w:color w:val="auto"/>
                <w:kern w:val="0"/>
                <w:sz w:val="28"/>
                <w:szCs w:val="28"/>
                <w:highlight w:val="none"/>
              </w:rPr>
            </w:pPr>
          </w:p>
        </w:tc>
      </w:tr>
      <w:tr w14:paraId="47E89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14:paraId="724FAFD9">
            <w:pPr>
              <w:spacing w:line="360" w:lineRule="auto"/>
              <w:rPr>
                <w:rFonts w:ascii="仿宋" w:hAnsi="仿宋" w:eastAsia="仿宋" w:cs="Times New Roman"/>
                <w:color w:val="auto"/>
                <w:kern w:val="0"/>
                <w:sz w:val="28"/>
                <w:szCs w:val="28"/>
                <w:highlight w:val="none"/>
              </w:rPr>
            </w:pPr>
          </w:p>
        </w:tc>
        <w:tc>
          <w:tcPr>
            <w:tcW w:w="3118" w:type="dxa"/>
          </w:tcPr>
          <w:p w14:paraId="1F67E109">
            <w:pPr>
              <w:spacing w:line="360" w:lineRule="auto"/>
              <w:rPr>
                <w:rFonts w:ascii="仿宋" w:hAnsi="仿宋" w:eastAsia="仿宋" w:cs="Times New Roman"/>
                <w:color w:val="auto"/>
                <w:kern w:val="0"/>
                <w:sz w:val="28"/>
                <w:szCs w:val="28"/>
                <w:highlight w:val="none"/>
              </w:rPr>
            </w:pPr>
          </w:p>
        </w:tc>
        <w:tc>
          <w:tcPr>
            <w:tcW w:w="2410" w:type="dxa"/>
          </w:tcPr>
          <w:p w14:paraId="4B8164F1">
            <w:pPr>
              <w:spacing w:line="360" w:lineRule="auto"/>
              <w:rPr>
                <w:rFonts w:ascii="仿宋" w:hAnsi="仿宋" w:eastAsia="仿宋" w:cs="Times New Roman"/>
                <w:color w:val="auto"/>
                <w:kern w:val="0"/>
                <w:sz w:val="28"/>
                <w:szCs w:val="28"/>
                <w:highlight w:val="none"/>
              </w:rPr>
            </w:pPr>
          </w:p>
        </w:tc>
        <w:tc>
          <w:tcPr>
            <w:tcW w:w="1134" w:type="dxa"/>
          </w:tcPr>
          <w:p w14:paraId="39216219">
            <w:pPr>
              <w:spacing w:line="360" w:lineRule="auto"/>
              <w:rPr>
                <w:rFonts w:ascii="仿宋" w:hAnsi="仿宋" w:eastAsia="仿宋" w:cs="Times New Roman"/>
                <w:color w:val="auto"/>
                <w:kern w:val="0"/>
                <w:sz w:val="28"/>
                <w:szCs w:val="28"/>
                <w:highlight w:val="none"/>
              </w:rPr>
            </w:pPr>
          </w:p>
        </w:tc>
      </w:tr>
      <w:tr w14:paraId="5DAB2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14:paraId="24B34447">
            <w:pPr>
              <w:spacing w:line="360" w:lineRule="auto"/>
              <w:rPr>
                <w:rFonts w:ascii="仿宋" w:hAnsi="仿宋" w:eastAsia="仿宋" w:cs="Times New Roman"/>
                <w:color w:val="auto"/>
                <w:kern w:val="0"/>
                <w:sz w:val="28"/>
                <w:szCs w:val="28"/>
                <w:highlight w:val="none"/>
              </w:rPr>
            </w:pPr>
          </w:p>
        </w:tc>
        <w:tc>
          <w:tcPr>
            <w:tcW w:w="3118" w:type="dxa"/>
          </w:tcPr>
          <w:p w14:paraId="715B4B2F">
            <w:pPr>
              <w:spacing w:line="360" w:lineRule="auto"/>
              <w:rPr>
                <w:rFonts w:ascii="仿宋" w:hAnsi="仿宋" w:eastAsia="仿宋" w:cs="Times New Roman"/>
                <w:color w:val="auto"/>
                <w:kern w:val="0"/>
                <w:sz w:val="28"/>
                <w:szCs w:val="28"/>
                <w:highlight w:val="none"/>
              </w:rPr>
            </w:pPr>
          </w:p>
        </w:tc>
        <w:tc>
          <w:tcPr>
            <w:tcW w:w="2410" w:type="dxa"/>
          </w:tcPr>
          <w:p w14:paraId="7120C255">
            <w:pPr>
              <w:spacing w:line="360" w:lineRule="auto"/>
              <w:rPr>
                <w:rFonts w:ascii="仿宋" w:hAnsi="仿宋" w:eastAsia="仿宋" w:cs="Times New Roman"/>
                <w:color w:val="auto"/>
                <w:kern w:val="0"/>
                <w:sz w:val="28"/>
                <w:szCs w:val="28"/>
                <w:highlight w:val="none"/>
              </w:rPr>
            </w:pPr>
          </w:p>
        </w:tc>
        <w:tc>
          <w:tcPr>
            <w:tcW w:w="1134" w:type="dxa"/>
          </w:tcPr>
          <w:p w14:paraId="611990AB">
            <w:pPr>
              <w:spacing w:line="360" w:lineRule="auto"/>
              <w:rPr>
                <w:rFonts w:ascii="仿宋" w:hAnsi="仿宋" w:eastAsia="仿宋" w:cs="Times New Roman"/>
                <w:color w:val="auto"/>
                <w:kern w:val="0"/>
                <w:sz w:val="28"/>
                <w:szCs w:val="28"/>
                <w:highlight w:val="none"/>
              </w:rPr>
            </w:pPr>
          </w:p>
        </w:tc>
      </w:tr>
    </w:tbl>
    <w:p w14:paraId="4359FD98">
      <w:pPr>
        <w:spacing w:line="360" w:lineRule="auto"/>
        <w:rPr>
          <w:rFonts w:ascii="仿宋" w:hAnsi="仿宋" w:eastAsia="仿宋"/>
          <w:color w:val="auto"/>
          <w:sz w:val="28"/>
          <w:szCs w:val="28"/>
          <w:highlight w:val="none"/>
        </w:rPr>
      </w:pPr>
    </w:p>
    <w:p w14:paraId="43289433">
      <w:pPr>
        <w:spacing w:line="360" w:lineRule="auto"/>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竞租人： </w:t>
      </w:r>
      <w:r>
        <w:rPr>
          <w:rFonts w:hint="eastAsia" w:ascii="仿宋" w:hAnsi="仿宋" w:eastAsia="仿宋"/>
          <w:color w:val="auto"/>
          <w:sz w:val="28"/>
          <w:szCs w:val="28"/>
          <w:highlight w:val="none"/>
          <w:u w:val="single"/>
        </w:rPr>
        <w:t xml:space="preserve">                                  </w:t>
      </w:r>
    </w:p>
    <w:p w14:paraId="5F5027F5">
      <w:pPr>
        <w:spacing w:line="360" w:lineRule="auto"/>
        <w:ind w:firstLine="565" w:firstLineChars="202"/>
        <w:rPr>
          <w:rFonts w:ascii="仿宋" w:hAnsi="仿宋" w:eastAsia="仿宋"/>
          <w:color w:val="auto"/>
          <w:sz w:val="28"/>
          <w:szCs w:val="28"/>
          <w:highlight w:val="none"/>
        </w:rPr>
      </w:pPr>
    </w:p>
    <w:p w14:paraId="70B0FF8F">
      <w:pPr>
        <w:spacing w:line="360" w:lineRule="auto"/>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p>
    <w:p w14:paraId="30F361E6">
      <w:pPr>
        <w:spacing w:line="360" w:lineRule="auto"/>
        <w:ind w:firstLine="565" w:firstLineChars="202"/>
        <w:rPr>
          <w:rFonts w:ascii="仿宋" w:hAnsi="仿宋" w:eastAsia="仿宋"/>
          <w:color w:val="auto"/>
          <w:sz w:val="28"/>
          <w:szCs w:val="28"/>
          <w:highlight w:val="none"/>
        </w:rPr>
      </w:pPr>
    </w:p>
    <w:p w14:paraId="481E9616">
      <w:pPr>
        <w:spacing w:line="360" w:lineRule="auto"/>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委托代理人：</w:t>
      </w:r>
      <w:r>
        <w:rPr>
          <w:rFonts w:hint="eastAsia" w:ascii="仿宋" w:hAnsi="仿宋" w:eastAsia="仿宋"/>
          <w:color w:val="auto"/>
          <w:sz w:val="28"/>
          <w:szCs w:val="28"/>
          <w:highlight w:val="none"/>
          <w:u w:val="single"/>
        </w:rPr>
        <w:t xml:space="preserve">                               </w:t>
      </w:r>
    </w:p>
    <w:p w14:paraId="1948191C">
      <w:pPr>
        <w:spacing w:line="360" w:lineRule="auto"/>
        <w:ind w:firstLine="565" w:firstLineChars="202"/>
        <w:rPr>
          <w:rFonts w:ascii="仿宋" w:hAnsi="仿宋" w:eastAsia="仿宋"/>
          <w:color w:val="auto"/>
          <w:sz w:val="28"/>
          <w:szCs w:val="28"/>
          <w:highlight w:val="none"/>
          <w:u w:val="single"/>
        </w:rPr>
      </w:pPr>
    </w:p>
    <w:p w14:paraId="0706EDC3">
      <w:pPr>
        <w:spacing w:line="360" w:lineRule="auto"/>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时间：202</w:t>
      </w:r>
      <w:r>
        <w:rPr>
          <w:rFonts w:hint="eastAsia" w:ascii="仿宋" w:hAnsi="仿宋" w:eastAsia="仿宋"/>
          <w:color w:val="auto"/>
          <w:sz w:val="28"/>
          <w:szCs w:val="28"/>
          <w:highlight w:val="none"/>
          <w:lang w:val="en-US" w:eastAsia="zh-CN"/>
        </w:rPr>
        <w:t>5</w:t>
      </w:r>
      <w:r>
        <w:rPr>
          <w:rFonts w:hint="eastAsia" w:ascii="仿宋" w:hAnsi="仿宋" w:eastAsia="仿宋"/>
          <w:color w:val="auto"/>
          <w:sz w:val="28"/>
          <w:szCs w:val="28"/>
          <w:highlight w:val="none"/>
        </w:rPr>
        <w:t>年  月  日</w:t>
      </w:r>
    </w:p>
    <w:p w14:paraId="3B17051C">
      <w:pPr>
        <w:spacing w:line="360" w:lineRule="auto"/>
        <w:ind w:firstLine="565" w:firstLineChars="202"/>
        <w:rPr>
          <w:rFonts w:ascii="仿宋" w:hAnsi="仿宋" w:eastAsia="仿宋"/>
          <w:color w:val="auto"/>
          <w:sz w:val="28"/>
          <w:szCs w:val="28"/>
          <w:highlight w:val="none"/>
        </w:rPr>
      </w:pPr>
    </w:p>
    <w:p w14:paraId="14E1B61A">
      <w:pPr>
        <w:spacing w:line="360" w:lineRule="auto"/>
        <w:rPr>
          <w:rFonts w:ascii="幼圆" w:hAnsi="仿宋" w:eastAsia="幼圆"/>
          <w:b/>
          <w:color w:val="auto"/>
          <w:sz w:val="28"/>
          <w:szCs w:val="28"/>
          <w:highlight w:val="none"/>
        </w:rPr>
      </w:pPr>
    </w:p>
    <w:p w14:paraId="3E194AC0">
      <w:pPr>
        <w:spacing w:line="360" w:lineRule="auto"/>
        <w:rPr>
          <w:rFonts w:ascii="幼圆" w:hAnsi="仿宋" w:eastAsia="幼圆"/>
          <w:b/>
          <w:color w:val="auto"/>
          <w:sz w:val="28"/>
          <w:szCs w:val="28"/>
          <w:highlight w:val="none"/>
        </w:rPr>
      </w:pPr>
    </w:p>
    <w:p w14:paraId="12E59A75">
      <w:pPr>
        <w:spacing w:line="360" w:lineRule="auto"/>
        <w:rPr>
          <w:rFonts w:ascii="幼圆" w:hAnsi="仿宋" w:eastAsia="幼圆"/>
          <w:b/>
          <w:color w:val="auto"/>
          <w:sz w:val="28"/>
          <w:szCs w:val="28"/>
          <w:highlight w:val="none"/>
        </w:rPr>
      </w:pPr>
    </w:p>
    <w:p w14:paraId="2FD55D26">
      <w:pPr>
        <w:spacing w:line="360" w:lineRule="auto"/>
        <w:rPr>
          <w:rFonts w:ascii="幼圆" w:hAnsi="仿宋" w:eastAsia="幼圆"/>
          <w:b/>
          <w:color w:val="auto"/>
          <w:sz w:val="28"/>
          <w:szCs w:val="28"/>
          <w:highlight w:val="none"/>
        </w:rPr>
      </w:pPr>
    </w:p>
    <w:p w14:paraId="569D1331">
      <w:pPr>
        <w:spacing w:line="360" w:lineRule="auto"/>
        <w:rPr>
          <w:rFonts w:ascii="幼圆" w:hAnsi="仿宋" w:eastAsia="幼圆"/>
          <w:b/>
          <w:color w:val="auto"/>
          <w:sz w:val="28"/>
          <w:szCs w:val="28"/>
          <w:highlight w:val="none"/>
        </w:rPr>
      </w:pPr>
      <w:r>
        <w:rPr>
          <w:rFonts w:hint="eastAsia" w:ascii="幼圆" w:hAnsi="仿宋" w:eastAsia="幼圆"/>
          <w:b/>
          <w:color w:val="auto"/>
          <w:sz w:val="28"/>
          <w:szCs w:val="28"/>
          <w:highlight w:val="none"/>
        </w:rPr>
        <w:t>附件12：授权委托书</w:t>
      </w:r>
    </w:p>
    <w:p w14:paraId="4FDA7B1A">
      <w:pPr>
        <w:spacing w:line="720" w:lineRule="auto"/>
        <w:jc w:val="center"/>
        <w:rPr>
          <w:rFonts w:ascii="宋体" w:hAnsi="宋体"/>
          <w:b/>
          <w:color w:val="auto"/>
          <w:sz w:val="32"/>
          <w:szCs w:val="32"/>
          <w:highlight w:val="none"/>
        </w:rPr>
      </w:pPr>
      <w:r>
        <w:rPr>
          <w:rFonts w:hint="eastAsia" w:ascii="宋体" w:hAnsi="宋体"/>
          <w:b/>
          <w:color w:val="auto"/>
          <w:sz w:val="32"/>
          <w:szCs w:val="32"/>
          <w:highlight w:val="none"/>
        </w:rPr>
        <w:t>授权委托书</w:t>
      </w:r>
    </w:p>
    <w:p w14:paraId="298F5AAD">
      <w:pPr>
        <w:spacing w:line="560" w:lineRule="exac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致出租人:盐城市灌东盐场发展有限公司</w:t>
      </w:r>
    </w:p>
    <w:p w14:paraId="32C66559">
      <w:pPr>
        <w:spacing w:line="240" w:lineRule="exact"/>
        <w:rPr>
          <w:rFonts w:ascii="仿宋" w:hAnsi="仿宋" w:eastAsia="仿宋"/>
          <w:b/>
          <w:color w:val="auto"/>
          <w:sz w:val="28"/>
          <w:szCs w:val="28"/>
          <w:highlight w:val="none"/>
        </w:rPr>
      </w:pPr>
    </w:p>
    <w:p w14:paraId="4B5629A6">
      <w:pPr>
        <w:spacing w:line="54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 兹因我单位参加贵方</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池塘的招租，现委托我单位正式职工</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同志（身份证号码</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）作为我方代理人，代表我方参加池塘竞租活动。该同志在贵方池塘招租过程中签署的任何文件资料，均视同我方签署，我方在任何时候、任何情况下均予以认可，并接受其所签署文件的约束。</w:t>
      </w:r>
    </w:p>
    <w:p w14:paraId="44FB246A">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代理人有权代表我方签署或签收的文件，包括但不限于：</w:t>
      </w:r>
    </w:p>
    <w:p w14:paraId="2AD74026">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（1）《声明书》</w:t>
      </w:r>
    </w:p>
    <w:p w14:paraId="6C580AE4">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（2）《竞租池塘登记表》</w:t>
      </w:r>
    </w:p>
    <w:p w14:paraId="2D1866DB">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（3）《竞租报价表》</w:t>
      </w:r>
    </w:p>
    <w:p w14:paraId="4EE444AC">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（4）《中标确认书》</w:t>
      </w:r>
    </w:p>
    <w:p w14:paraId="330433B0">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（5）《池塘租赁合同》 </w:t>
      </w:r>
    </w:p>
    <w:p w14:paraId="44082411">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（6）《确认书》 </w:t>
      </w:r>
    </w:p>
    <w:p w14:paraId="3180C78D">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（7）《承诺书》</w:t>
      </w:r>
    </w:p>
    <w:p w14:paraId="439735D7">
      <w:pPr>
        <w:spacing w:line="54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（8）其他的池塘招租文件资料和招租过程的程序性文件资料 </w:t>
      </w:r>
    </w:p>
    <w:p w14:paraId="70E02239">
      <w:pPr>
        <w:spacing w:line="360" w:lineRule="auto"/>
        <w:ind w:firstLine="565" w:firstLineChars="202"/>
        <w:rPr>
          <w:rFonts w:ascii="仿宋" w:hAnsi="仿宋" w:eastAsia="仿宋"/>
          <w:color w:val="auto"/>
          <w:sz w:val="28"/>
          <w:szCs w:val="28"/>
          <w:highlight w:val="none"/>
        </w:rPr>
      </w:pPr>
    </w:p>
    <w:p w14:paraId="791B1724">
      <w:pPr>
        <w:spacing w:line="360" w:lineRule="auto"/>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竞租人（委托单位）：</w:t>
      </w:r>
      <w:r>
        <w:rPr>
          <w:rFonts w:hint="eastAsia" w:ascii="仿宋" w:hAnsi="仿宋" w:eastAsia="仿宋"/>
          <w:color w:val="auto"/>
          <w:sz w:val="28"/>
          <w:szCs w:val="28"/>
          <w:highlight w:val="none"/>
          <w:u w:val="single"/>
        </w:rPr>
        <w:t xml:space="preserve">                           </w:t>
      </w:r>
    </w:p>
    <w:p w14:paraId="565B7226">
      <w:pPr>
        <w:spacing w:line="360" w:lineRule="auto"/>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p>
    <w:p w14:paraId="1E73D950">
      <w:pPr>
        <w:spacing w:line="360" w:lineRule="auto"/>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联系电话：</w:t>
      </w:r>
      <w:r>
        <w:rPr>
          <w:rFonts w:hint="eastAsia" w:ascii="仿宋" w:hAnsi="仿宋" w:eastAsia="仿宋"/>
          <w:color w:val="auto"/>
          <w:sz w:val="28"/>
          <w:szCs w:val="28"/>
          <w:highlight w:val="none"/>
          <w:u w:val="single"/>
        </w:rPr>
        <w:t xml:space="preserve">                                 </w:t>
      </w:r>
    </w:p>
    <w:p w14:paraId="1FCDDFC3">
      <w:pPr>
        <w:spacing w:line="360" w:lineRule="auto"/>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二〇二</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日 </w:t>
      </w:r>
    </w:p>
    <w:p w14:paraId="5068B60E">
      <w:pPr>
        <w:spacing w:line="360" w:lineRule="auto"/>
        <w:rPr>
          <w:rFonts w:hint="eastAsia" w:ascii="幼圆" w:hAnsi="仿宋" w:eastAsia="幼圆"/>
          <w:b/>
          <w:color w:val="auto"/>
          <w:sz w:val="28"/>
          <w:szCs w:val="28"/>
          <w:highlight w:val="none"/>
        </w:rPr>
      </w:pPr>
    </w:p>
    <w:p w14:paraId="4B73146E">
      <w:pPr>
        <w:spacing w:line="360" w:lineRule="auto"/>
        <w:rPr>
          <w:rFonts w:ascii="幼圆" w:hAnsi="仿宋" w:eastAsia="幼圆"/>
          <w:b/>
          <w:color w:val="auto"/>
          <w:sz w:val="28"/>
          <w:szCs w:val="28"/>
          <w:highlight w:val="none"/>
        </w:rPr>
      </w:pPr>
      <w:r>
        <w:rPr>
          <w:rFonts w:hint="eastAsia" w:ascii="幼圆" w:hAnsi="仿宋" w:eastAsia="幼圆"/>
          <w:b/>
          <w:color w:val="auto"/>
          <w:sz w:val="28"/>
          <w:szCs w:val="28"/>
          <w:highlight w:val="none"/>
        </w:rPr>
        <w:t>附件13：《池塘租赁合同担保书》</w:t>
      </w:r>
    </w:p>
    <w:p w14:paraId="1AC817E9">
      <w:pPr>
        <w:spacing w:line="240" w:lineRule="exact"/>
        <w:ind w:firstLine="565" w:firstLineChars="202"/>
        <w:rPr>
          <w:rFonts w:ascii="仿宋" w:hAnsi="仿宋" w:eastAsia="仿宋"/>
          <w:color w:val="auto"/>
          <w:sz w:val="28"/>
          <w:szCs w:val="28"/>
          <w:highlight w:val="none"/>
        </w:rPr>
      </w:pPr>
    </w:p>
    <w:p w14:paraId="2B8EF815">
      <w:pPr>
        <w:spacing w:line="480" w:lineRule="exact"/>
        <w:jc w:val="center"/>
        <w:rPr>
          <w:rFonts w:ascii="宋体" w:hAnsi="宋体"/>
          <w:b/>
          <w:color w:val="auto"/>
          <w:sz w:val="32"/>
          <w:szCs w:val="32"/>
          <w:highlight w:val="none"/>
        </w:rPr>
      </w:pPr>
      <w:r>
        <w:rPr>
          <w:rFonts w:hint="eastAsia" w:ascii="宋体" w:hAnsi="宋体"/>
          <w:b/>
          <w:color w:val="auto"/>
          <w:sz w:val="32"/>
          <w:szCs w:val="32"/>
          <w:highlight w:val="none"/>
        </w:rPr>
        <w:t>池塘租赁合同担保书</w:t>
      </w:r>
    </w:p>
    <w:p w14:paraId="55318113">
      <w:pPr>
        <w:spacing w:line="480" w:lineRule="exact"/>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致出租人:</w:t>
      </w:r>
      <w:r>
        <w:rPr>
          <w:rFonts w:hint="eastAsia" w:ascii="仿宋" w:hAnsi="仿宋" w:eastAsia="仿宋"/>
          <w:b/>
          <w:color w:val="auto"/>
          <w:sz w:val="28"/>
          <w:szCs w:val="28"/>
          <w:highlight w:val="none"/>
          <w:u w:val="single"/>
        </w:rPr>
        <w:t>盐城市灌东盐场发展有限公司</w:t>
      </w:r>
    </w:p>
    <w:p w14:paraId="6E487A1B">
      <w:pPr>
        <w:spacing w:line="48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担保人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（证件名称及编号：</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）是 □上市公司 □国有企业 □ 公务员。因竞租人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（证件名称及编号：</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）拟参加竞租贵方</w:t>
      </w:r>
      <w:r>
        <w:rPr>
          <w:rFonts w:hint="eastAsia" w:ascii="仿宋" w:hAnsi="仿宋" w:eastAsia="仿宋"/>
          <w:color w:val="auto"/>
          <w:sz w:val="28"/>
          <w:szCs w:val="28"/>
          <w:highlight w:val="none"/>
          <w:lang w:eastAsia="zh-CN"/>
        </w:rPr>
        <w:t>2025年底到期</w:t>
      </w:r>
      <w:r>
        <w:rPr>
          <w:rFonts w:hint="eastAsia" w:ascii="仿宋" w:hAnsi="仿宋" w:eastAsia="仿宋"/>
          <w:color w:val="auto"/>
          <w:sz w:val="28"/>
          <w:szCs w:val="28"/>
          <w:highlight w:val="none"/>
        </w:rPr>
        <w:t>公开招租的池塘，我方同意为上述竞租人提供担保。如果上述竞租人在贵方本次池塘/水库招租过程中竞租成功的，由上述竞租人与贵方签署《池塘租赁合同》。我方愿意为竞租人在《池塘租赁合同》中的各项义务提供担保，如果竞租人存在违约、侵权行为的，由我方与竞租人一起向贵方承担违约责任或侵权责任，并且与竞租人一起向贵方承担池塘/水库租金的支付义务。</w:t>
      </w:r>
    </w:p>
    <w:p w14:paraId="2C92EF7E">
      <w:pPr>
        <w:spacing w:line="48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担保期限为自本担保书出具之日起五年。担保期内，担保人保证上述承诺内容不可撤销、不可变更，并严格按照上述承诺履行。</w:t>
      </w:r>
    </w:p>
    <w:p w14:paraId="0AC384C1">
      <w:pPr>
        <w:spacing w:line="48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另外，如果竞租人是贵方原承租人/承包人的，本担保人对竞租人在不能竞租成功的情况下退还原承租池塘/水库的《确认书》提供担保，并同意为竞租人签署的《确认书》中的各项义务提供担保。</w:t>
      </w:r>
    </w:p>
    <w:p w14:paraId="7231BD34">
      <w:pPr>
        <w:spacing w:line="48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担保人的送达地址：</w:t>
      </w:r>
      <w:r>
        <w:rPr>
          <w:rFonts w:hint="eastAsia" w:ascii="仿宋" w:hAnsi="仿宋" w:eastAsia="仿宋"/>
          <w:color w:val="auto"/>
          <w:sz w:val="28"/>
          <w:szCs w:val="28"/>
          <w:highlight w:val="none"/>
          <w:u w:val="single"/>
        </w:rPr>
        <w:t xml:space="preserve">                                                 </w:t>
      </w:r>
    </w:p>
    <w:p w14:paraId="381255B1">
      <w:pPr>
        <w:spacing w:line="480" w:lineRule="exact"/>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联系电话：</w:t>
      </w:r>
      <w:r>
        <w:rPr>
          <w:rFonts w:hint="eastAsia" w:ascii="仿宋" w:hAnsi="仿宋" w:eastAsia="仿宋"/>
          <w:color w:val="auto"/>
          <w:sz w:val="28"/>
          <w:szCs w:val="28"/>
          <w:highlight w:val="none"/>
          <w:u w:val="single"/>
        </w:rPr>
        <w:t xml:space="preserve">                                                </w:t>
      </w:r>
    </w:p>
    <w:p w14:paraId="582821AB">
      <w:pPr>
        <w:spacing w:line="48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（担保人身份证明文件的复印件附后）</w:t>
      </w:r>
    </w:p>
    <w:p w14:paraId="342282B0">
      <w:pPr>
        <w:spacing w:line="480" w:lineRule="exact"/>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01DA7A55">
      <w:pPr>
        <w:spacing w:line="480" w:lineRule="exact"/>
        <w:ind w:firstLine="3827" w:firstLineChars="1367"/>
        <w:rPr>
          <w:rFonts w:ascii="仿宋" w:hAnsi="仿宋" w:eastAsia="仿宋"/>
          <w:color w:val="auto"/>
          <w:sz w:val="28"/>
          <w:szCs w:val="28"/>
          <w:highlight w:val="none"/>
        </w:rPr>
      </w:pPr>
      <w:r>
        <w:rPr>
          <w:rFonts w:hint="eastAsia" w:ascii="仿宋" w:hAnsi="仿宋" w:eastAsia="仿宋"/>
          <w:color w:val="auto"/>
          <w:sz w:val="28"/>
          <w:szCs w:val="28"/>
          <w:highlight w:val="none"/>
        </w:rPr>
        <w:t>担保人（盖章/签字）：</w:t>
      </w:r>
    </w:p>
    <w:p w14:paraId="49741FD2">
      <w:pPr>
        <w:spacing w:line="480" w:lineRule="exact"/>
        <w:ind w:firstLine="3827" w:firstLineChars="1367"/>
        <w:rPr>
          <w:rFonts w:ascii="仿宋" w:hAnsi="仿宋" w:eastAsia="仿宋"/>
          <w:color w:val="auto"/>
          <w:sz w:val="28"/>
          <w:szCs w:val="28"/>
          <w:highlight w:val="none"/>
        </w:rPr>
      </w:pPr>
    </w:p>
    <w:p w14:paraId="66F2D0F5">
      <w:pPr>
        <w:spacing w:line="360" w:lineRule="exact"/>
        <w:ind w:firstLine="3920" w:firstLineChars="1400"/>
        <w:rPr>
          <w:rFonts w:hint="eastAsia" w:ascii="仿宋" w:hAnsi="仿宋" w:eastAsia="仿宋"/>
          <w:color w:val="auto"/>
          <w:sz w:val="28"/>
          <w:szCs w:val="28"/>
          <w:highlight w:val="none"/>
        </w:rPr>
      </w:pPr>
    </w:p>
    <w:p w14:paraId="5B83DCC3">
      <w:pPr>
        <w:spacing w:line="360" w:lineRule="exact"/>
        <w:ind w:firstLine="3920" w:firstLineChars="14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二〇二</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日 </w:t>
      </w:r>
    </w:p>
    <w:p w14:paraId="6F24E150">
      <w:pPr>
        <w:spacing w:line="360" w:lineRule="exact"/>
        <w:ind w:firstLine="3920" w:firstLineChars="1400"/>
        <w:rPr>
          <w:rFonts w:hint="eastAsia" w:ascii="仿宋" w:hAnsi="仿宋" w:eastAsia="仿宋"/>
          <w:color w:val="auto"/>
          <w:sz w:val="28"/>
          <w:szCs w:val="28"/>
          <w:highlight w:val="none"/>
        </w:rPr>
      </w:pPr>
    </w:p>
    <w:p w14:paraId="599D5CB2">
      <w:pPr>
        <w:spacing w:line="360" w:lineRule="exact"/>
        <w:ind w:firstLine="3920" w:firstLineChars="1400"/>
        <w:rPr>
          <w:rFonts w:hint="eastAsia" w:ascii="仿宋" w:hAnsi="仿宋" w:eastAsia="仿宋"/>
          <w:color w:val="auto"/>
          <w:sz w:val="28"/>
          <w:szCs w:val="28"/>
          <w:highlight w:val="none"/>
        </w:rPr>
      </w:pPr>
    </w:p>
    <w:p w14:paraId="4D9FBBA7">
      <w:pPr>
        <w:spacing w:line="360" w:lineRule="exact"/>
        <w:ind w:firstLine="3920" w:firstLineChars="1400"/>
        <w:rPr>
          <w:rFonts w:hint="eastAsia" w:ascii="仿宋" w:hAnsi="仿宋" w:eastAsia="仿宋"/>
          <w:color w:val="auto"/>
          <w:sz w:val="28"/>
          <w:szCs w:val="28"/>
          <w:highlight w:val="none"/>
        </w:rPr>
      </w:pPr>
    </w:p>
    <w:p w14:paraId="37BC68CF">
      <w:pPr>
        <w:spacing w:line="360" w:lineRule="auto"/>
        <w:rPr>
          <w:rFonts w:hint="eastAsia" w:ascii="幼圆" w:hAnsi="仿宋" w:eastAsia="幼圆" w:cs="Times New Roman"/>
          <w:b/>
          <w:color w:val="auto"/>
          <w:sz w:val="28"/>
          <w:szCs w:val="28"/>
          <w:highlight w:val="none"/>
          <w:lang w:eastAsia="zh-CN"/>
        </w:rPr>
      </w:pPr>
      <w:r>
        <w:rPr>
          <w:rFonts w:hint="eastAsia" w:ascii="幼圆" w:hAnsi="仿宋" w:eastAsia="幼圆" w:cs="Times New Roman"/>
          <w:b/>
          <w:color w:val="auto"/>
          <w:sz w:val="28"/>
          <w:szCs w:val="28"/>
          <w:highlight w:val="none"/>
        </w:rPr>
        <w:t>附件</w:t>
      </w:r>
      <w:r>
        <w:rPr>
          <w:rFonts w:hint="eastAsia" w:ascii="幼圆" w:hAnsi="仿宋" w:eastAsia="幼圆" w:cs="Times New Roman"/>
          <w:b/>
          <w:color w:val="auto"/>
          <w:sz w:val="28"/>
          <w:szCs w:val="28"/>
          <w:highlight w:val="none"/>
          <w:lang w:val="en-US" w:eastAsia="zh-CN"/>
        </w:rPr>
        <w:t>14</w:t>
      </w:r>
      <w:r>
        <w:rPr>
          <w:rFonts w:hint="eastAsia" w:ascii="幼圆" w:hAnsi="仿宋" w:eastAsia="幼圆" w:cs="Times New Roman"/>
          <w:b/>
          <w:color w:val="auto"/>
          <w:sz w:val="28"/>
          <w:szCs w:val="28"/>
          <w:highlight w:val="none"/>
        </w:rPr>
        <w:t>：</w:t>
      </w:r>
      <w:r>
        <w:rPr>
          <w:rFonts w:hint="eastAsia" w:ascii="幼圆" w:hAnsi="仿宋" w:eastAsia="幼圆" w:cs="Times New Roman"/>
          <w:b/>
          <w:color w:val="auto"/>
          <w:sz w:val="28"/>
          <w:szCs w:val="28"/>
          <w:highlight w:val="none"/>
          <w:lang w:eastAsia="zh-CN"/>
        </w:rPr>
        <w:t>《</w:t>
      </w:r>
      <w:r>
        <w:rPr>
          <w:rFonts w:hint="eastAsia" w:ascii="幼圆" w:hAnsi="仿宋" w:eastAsia="幼圆" w:cs="Times New Roman"/>
          <w:b/>
          <w:color w:val="auto"/>
          <w:sz w:val="28"/>
          <w:szCs w:val="28"/>
          <w:highlight w:val="none"/>
        </w:rPr>
        <w:t>水产养殖安全环保承诺书</w:t>
      </w:r>
      <w:r>
        <w:rPr>
          <w:rFonts w:hint="eastAsia" w:ascii="幼圆" w:hAnsi="仿宋" w:eastAsia="幼圆" w:cs="Times New Roman"/>
          <w:b/>
          <w:color w:val="auto"/>
          <w:sz w:val="28"/>
          <w:szCs w:val="28"/>
          <w:highlight w:val="none"/>
          <w:lang w:eastAsia="zh-CN"/>
        </w:rPr>
        <w:t>》</w:t>
      </w:r>
    </w:p>
    <w:p w14:paraId="02D9CE71">
      <w:pPr>
        <w:jc w:val="center"/>
        <w:rPr>
          <w:rFonts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水产养殖安全环保承诺书</w:t>
      </w:r>
    </w:p>
    <w:p w14:paraId="27E03BF9">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u w:val="single"/>
        </w:rPr>
        <w:t>盐场市灌东盐场发展有限公司</w:t>
      </w:r>
      <w:r>
        <w:rPr>
          <w:rFonts w:hint="eastAsia" w:ascii="仿宋" w:hAnsi="仿宋" w:eastAsia="仿宋" w:cs="Times New Roman"/>
          <w:color w:val="auto"/>
          <w:sz w:val="28"/>
          <w:szCs w:val="28"/>
          <w:highlight w:val="none"/>
        </w:rPr>
        <w:t>：</w:t>
      </w:r>
    </w:p>
    <w:p w14:paraId="09844FB6">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为全面贯彻落实《中华人民共和国安全生产法》、《江苏省安全生产条例》和《中华人民共和国环境保护法》等法律法规，防止和减少生产安全、生态环保事故发生，保护本人和灌东盐场安全稳定，本人特作如下承诺：</w:t>
      </w:r>
    </w:p>
    <w:p w14:paraId="7C0A18CD">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1、严格执行《中华人民共和国安全生产法》《江苏省安全生产条例》《中华人民共和国环境保护法》等法律法规；</w:t>
      </w:r>
    </w:p>
    <w:p w14:paraId="022EA0F5">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2、在养殖生产中，配电设备的安装、使用符合国家的现行标准和规范；</w:t>
      </w:r>
    </w:p>
    <w:p w14:paraId="27AD0B98">
      <w:pPr>
        <w:spacing w:line="480" w:lineRule="exact"/>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rPr>
        <w:t>3、严格执行水上、机械作业操作规程，配置相应的水上救生设备和机械防护设备；自行配备临时发电设备，以应对临时停电等突发情况，否则由此蒙受的经济损失由本人自行承担</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吊车起捕时，一切安全责任由本人承担。</w:t>
      </w:r>
    </w:p>
    <w:p w14:paraId="1FE41B61">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4、严格执行国家、省、市、县关于液化气使用安全的相关规定，不使用不合格“灶、管、阀、瓶”；</w:t>
      </w:r>
    </w:p>
    <w:p w14:paraId="7C0143CD">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5、严格执行环境保护相关法律法规，不使用违禁投入品、不使用农药进行清塘、不将养殖尾水直排送水河、不随意抛弃生产生活垃圾。在责任范围内不偷捕偷猎，不私搭乱建、私开乱挖，不焚烧杂草和生产生活垃圾；对清塘消毒、尾水排放向养殖区进行备案，对病死水产品及鱼药外包装等污染物作无害化处理。如本人违背此项承诺的，由本人承担所有法律责任和经济损失。</w:t>
      </w:r>
    </w:p>
    <w:p w14:paraId="3986B1FC">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6、严格遵守交通法规，不使用无牌无照车辆，不酒后驾车。</w:t>
      </w:r>
    </w:p>
    <w:p w14:paraId="58FC92C6">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7、严格遵守消防安全法规，生活生产用房使用合格的防火建筑材料，对汽油、柴油按规定使用和存放。</w:t>
      </w:r>
    </w:p>
    <w:p w14:paraId="394395E8">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8主动接受安全环保部门工作人员的监督检查，对检查出来的隐患及时整改消除。如发生安全责任事故的，由本人承担法律责任和经济损失、费用等。</w:t>
      </w:r>
    </w:p>
    <w:p w14:paraId="4E2E6B96">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9、违反以上承诺，愿意接受法律及公司相关规定的任何处罚</w:t>
      </w:r>
      <w:r>
        <w:rPr>
          <w:rFonts w:hint="eastAsia" w:ascii="仿宋" w:hAnsi="仿宋" w:eastAsia="仿宋" w:cs="Times New Roman"/>
          <w:color w:val="auto"/>
          <w:sz w:val="28"/>
          <w:szCs w:val="28"/>
          <w:highlight w:val="none"/>
          <w:lang w:eastAsia="zh-CN"/>
        </w:rPr>
        <w:t>；</w:t>
      </w:r>
      <w:r>
        <w:rPr>
          <w:rFonts w:hint="eastAsia" w:ascii="仿宋" w:hAnsi="仿宋" w:eastAsia="仿宋"/>
          <w:color w:val="auto"/>
          <w:sz w:val="28"/>
          <w:szCs w:val="28"/>
          <w:highlight w:val="none"/>
          <w:lang w:val="en-US" w:eastAsia="zh-CN"/>
        </w:rPr>
        <w:t>并被纳入“不受欢迎竞租人名单”</w:t>
      </w:r>
      <w:r>
        <w:rPr>
          <w:rFonts w:hint="eastAsia" w:ascii="仿宋" w:hAnsi="仿宋" w:eastAsia="仿宋" w:cs="Times New Roman"/>
          <w:color w:val="auto"/>
          <w:sz w:val="28"/>
          <w:szCs w:val="28"/>
          <w:highlight w:val="none"/>
        </w:rPr>
        <w:t>。</w:t>
      </w:r>
    </w:p>
    <w:p w14:paraId="29255429">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10、本承诺书一式两份，盐城市灌东盐场发展有限公司和承诺人各执一份，自签署之日起生效。</w:t>
      </w:r>
    </w:p>
    <w:p w14:paraId="6D58E68B">
      <w:pPr>
        <w:spacing w:line="480" w:lineRule="exact"/>
        <w:ind w:firstLine="565" w:firstLineChars="202"/>
        <w:rPr>
          <w:rFonts w:hint="eastAsia" w:ascii="仿宋" w:hAnsi="仿宋" w:eastAsia="仿宋" w:cs="Times New Roman"/>
          <w:color w:val="auto"/>
          <w:sz w:val="28"/>
          <w:szCs w:val="28"/>
          <w:highlight w:val="none"/>
        </w:rPr>
      </w:pPr>
    </w:p>
    <w:p w14:paraId="3A1D66F8">
      <w:pPr>
        <w:spacing w:line="480" w:lineRule="exact"/>
        <w:ind w:firstLine="565" w:firstLineChars="202"/>
        <w:rPr>
          <w:rFonts w:hint="eastAsia" w:ascii="仿宋" w:hAnsi="仿宋" w:eastAsia="仿宋" w:cs="Times New Roman"/>
          <w:color w:val="auto"/>
          <w:sz w:val="28"/>
          <w:szCs w:val="28"/>
          <w:highlight w:val="none"/>
        </w:rPr>
      </w:pPr>
    </w:p>
    <w:p w14:paraId="71A0E11A">
      <w:pPr>
        <w:spacing w:line="480" w:lineRule="exact"/>
        <w:ind w:firstLine="5322" w:firstLineChars="1901"/>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承诺人：</w:t>
      </w:r>
    </w:p>
    <w:p w14:paraId="60EAE330">
      <w:pPr>
        <w:spacing w:line="480" w:lineRule="exact"/>
        <w:ind w:firstLine="6162" w:firstLineChars="2201"/>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年   月   日</w:t>
      </w:r>
    </w:p>
    <w:p w14:paraId="2DC1A478">
      <w:pPr>
        <w:spacing w:line="480" w:lineRule="exact"/>
        <w:ind w:firstLine="565" w:firstLineChars="202"/>
        <w:rPr>
          <w:rFonts w:hint="eastAsia" w:ascii="仿宋" w:hAnsi="仿宋" w:eastAsia="仿宋" w:cs="Times New Roman"/>
          <w:color w:val="auto"/>
          <w:sz w:val="28"/>
          <w:szCs w:val="28"/>
          <w:highlight w:val="none"/>
        </w:rPr>
      </w:pPr>
    </w:p>
    <w:p w14:paraId="246DE9B2">
      <w:pPr>
        <w:spacing w:line="480" w:lineRule="exact"/>
        <w:ind w:firstLine="565" w:firstLineChars="202"/>
        <w:rPr>
          <w:rFonts w:hint="eastAsia" w:ascii="仿宋" w:hAnsi="仿宋" w:eastAsia="仿宋" w:cs="Times New Roman"/>
          <w:color w:val="auto"/>
          <w:sz w:val="28"/>
          <w:szCs w:val="28"/>
          <w:highlight w:val="none"/>
        </w:rPr>
      </w:pPr>
    </w:p>
    <w:p w14:paraId="485EE986">
      <w:pPr>
        <w:spacing w:line="360" w:lineRule="exact"/>
        <w:ind w:firstLine="3920" w:firstLineChars="1400"/>
        <w:rPr>
          <w:rFonts w:hint="eastAsia" w:ascii="仿宋" w:hAnsi="仿宋" w:eastAsia="仿宋"/>
          <w:color w:val="auto"/>
          <w:sz w:val="28"/>
          <w:szCs w:val="28"/>
          <w:highlight w:val="none"/>
        </w:rPr>
      </w:pPr>
    </w:p>
    <w:p w14:paraId="4E573326">
      <w:pPr>
        <w:spacing w:line="360" w:lineRule="exact"/>
        <w:ind w:firstLine="3920" w:firstLineChars="1400"/>
        <w:rPr>
          <w:rFonts w:hint="eastAsia" w:ascii="仿宋" w:hAnsi="仿宋" w:eastAsia="仿宋"/>
          <w:color w:val="auto"/>
          <w:sz w:val="28"/>
          <w:szCs w:val="28"/>
          <w:highlight w:val="none"/>
        </w:rPr>
      </w:pPr>
    </w:p>
    <w:p w14:paraId="4E9D8CE1">
      <w:pPr>
        <w:spacing w:line="360" w:lineRule="exact"/>
        <w:ind w:firstLine="3920" w:firstLineChars="1400"/>
        <w:rPr>
          <w:rFonts w:hint="eastAsia" w:ascii="仿宋" w:hAnsi="仿宋" w:eastAsia="仿宋"/>
          <w:color w:val="auto"/>
          <w:sz w:val="28"/>
          <w:szCs w:val="28"/>
          <w:highlight w:val="none"/>
        </w:rPr>
      </w:pPr>
    </w:p>
    <w:p w14:paraId="6D8924FC">
      <w:pPr>
        <w:spacing w:line="360" w:lineRule="exact"/>
        <w:ind w:firstLine="3920" w:firstLineChars="1400"/>
        <w:rPr>
          <w:rFonts w:hint="eastAsia" w:ascii="仿宋" w:hAnsi="仿宋" w:eastAsia="仿宋"/>
          <w:color w:val="auto"/>
          <w:sz w:val="28"/>
          <w:szCs w:val="28"/>
          <w:highlight w:val="none"/>
        </w:rPr>
      </w:pPr>
    </w:p>
    <w:p w14:paraId="4929482B">
      <w:pPr>
        <w:spacing w:line="360" w:lineRule="exact"/>
        <w:ind w:firstLine="3920" w:firstLineChars="1400"/>
        <w:rPr>
          <w:rFonts w:hint="eastAsia" w:ascii="仿宋" w:hAnsi="仿宋" w:eastAsia="仿宋"/>
          <w:color w:val="auto"/>
          <w:sz w:val="28"/>
          <w:szCs w:val="28"/>
          <w:highlight w:val="none"/>
        </w:rPr>
      </w:pPr>
    </w:p>
    <w:p w14:paraId="3D23878E">
      <w:pPr>
        <w:spacing w:line="360" w:lineRule="exact"/>
        <w:ind w:firstLine="3920" w:firstLineChars="1400"/>
        <w:rPr>
          <w:rFonts w:hint="eastAsia" w:ascii="仿宋" w:hAnsi="仿宋" w:eastAsia="仿宋"/>
          <w:color w:val="auto"/>
          <w:sz w:val="28"/>
          <w:szCs w:val="28"/>
          <w:highlight w:val="none"/>
        </w:rPr>
      </w:pPr>
    </w:p>
    <w:p w14:paraId="190885CA">
      <w:pPr>
        <w:spacing w:line="360" w:lineRule="exact"/>
        <w:ind w:firstLine="3920" w:firstLineChars="1400"/>
        <w:rPr>
          <w:rFonts w:hint="eastAsia" w:ascii="仿宋" w:hAnsi="仿宋" w:eastAsia="仿宋"/>
          <w:color w:val="auto"/>
          <w:sz w:val="28"/>
          <w:szCs w:val="28"/>
          <w:highlight w:val="none"/>
        </w:rPr>
      </w:pPr>
    </w:p>
    <w:p w14:paraId="6F1026DB">
      <w:pPr>
        <w:spacing w:line="360" w:lineRule="exact"/>
        <w:ind w:firstLine="3920" w:firstLineChars="1400"/>
        <w:rPr>
          <w:rFonts w:hint="eastAsia" w:ascii="仿宋" w:hAnsi="仿宋" w:eastAsia="仿宋"/>
          <w:color w:val="auto"/>
          <w:sz w:val="28"/>
          <w:szCs w:val="28"/>
          <w:highlight w:val="none"/>
        </w:rPr>
      </w:pPr>
    </w:p>
    <w:p w14:paraId="5C4DCFEF">
      <w:pPr>
        <w:spacing w:line="360" w:lineRule="exact"/>
        <w:ind w:firstLine="3920" w:firstLineChars="1400"/>
        <w:rPr>
          <w:rFonts w:hint="eastAsia" w:ascii="仿宋" w:hAnsi="仿宋" w:eastAsia="仿宋"/>
          <w:color w:val="auto"/>
          <w:sz w:val="28"/>
          <w:szCs w:val="28"/>
          <w:highlight w:val="none"/>
        </w:rPr>
      </w:pPr>
    </w:p>
    <w:p w14:paraId="2FD80FFD">
      <w:pPr>
        <w:spacing w:line="360" w:lineRule="exact"/>
        <w:ind w:firstLine="3920" w:firstLineChars="1400"/>
        <w:rPr>
          <w:rFonts w:hint="eastAsia" w:ascii="仿宋" w:hAnsi="仿宋" w:eastAsia="仿宋"/>
          <w:color w:val="auto"/>
          <w:sz w:val="28"/>
          <w:szCs w:val="28"/>
          <w:highlight w:val="none"/>
        </w:rPr>
      </w:pPr>
    </w:p>
    <w:p w14:paraId="5ED641A1">
      <w:pPr>
        <w:spacing w:line="360" w:lineRule="exact"/>
        <w:ind w:firstLine="3920" w:firstLineChars="1400"/>
        <w:rPr>
          <w:rFonts w:hint="eastAsia" w:ascii="仿宋" w:hAnsi="仿宋" w:eastAsia="仿宋"/>
          <w:color w:val="auto"/>
          <w:sz w:val="28"/>
          <w:szCs w:val="28"/>
          <w:highlight w:val="none"/>
        </w:rPr>
      </w:pPr>
    </w:p>
    <w:p w14:paraId="69E8CB91">
      <w:pPr>
        <w:spacing w:line="360" w:lineRule="exact"/>
        <w:ind w:firstLine="3920" w:firstLineChars="1400"/>
        <w:rPr>
          <w:rFonts w:hint="eastAsia" w:ascii="仿宋" w:hAnsi="仿宋" w:eastAsia="仿宋"/>
          <w:color w:val="auto"/>
          <w:sz w:val="28"/>
          <w:szCs w:val="28"/>
          <w:highlight w:val="none"/>
        </w:rPr>
      </w:pPr>
    </w:p>
    <w:p w14:paraId="5DEC585D">
      <w:pPr>
        <w:spacing w:line="360" w:lineRule="exact"/>
        <w:ind w:firstLine="3920" w:firstLineChars="1400"/>
        <w:rPr>
          <w:rFonts w:hint="eastAsia" w:ascii="仿宋" w:hAnsi="仿宋" w:eastAsia="仿宋"/>
          <w:color w:val="auto"/>
          <w:sz w:val="28"/>
          <w:szCs w:val="28"/>
          <w:highlight w:val="none"/>
        </w:rPr>
      </w:pPr>
    </w:p>
    <w:p w14:paraId="3868A714">
      <w:pPr>
        <w:spacing w:line="360" w:lineRule="exact"/>
        <w:ind w:firstLine="3920" w:firstLineChars="1400"/>
        <w:rPr>
          <w:rFonts w:hint="eastAsia" w:ascii="仿宋" w:hAnsi="仿宋" w:eastAsia="仿宋"/>
          <w:color w:val="auto"/>
          <w:sz w:val="28"/>
          <w:szCs w:val="28"/>
          <w:highlight w:val="none"/>
        </w:rPr>
      </w:pPr>
    </w:p>
    <w:p w14:paraId="674704D9">
      <w:pPr>
        <w:spacing w:line="360" w:lineRule="exact"/>
        <w:ind w:firstLine="3920" w:firstLineChars="1400"/>
        <w:rPr>
          <w:rFonts w:hint="eastAsia" w:ascii="仿宋" w:hAnsi="仿宋" w:eastAsia="仿宋"/>
          <w:color w:val="auto"/>
          <w:sz w:val="28"/>
          <w:szCs w:val="28"/>
          <w:highlight w:val="none"/>
        </w:rPr>
      </w:pPr>
    </w:p>
    <w:p w14:paraId="09C99F73">
      <w:pPr>
        <w:spacing w:line="360" w:lineRule="exact"/>
        <w:ind w:firstLine="3920" w:firstLineChars="1400"/>
        <w:rPr>
          <w:rFonts w:hint="eastAsia" w:ascii="仿宋" w:hAnsi="仿宋" w:eastAsia="仿宋"/>
          <w:color w:val="auto"/>
          <w:sz w:val="28"/>
          <w:szCs w:val="28"/>
          <w:highlight w:val="none"/>
        </w:rPr>
      </w:pPr>
    </w:p>
    <w:p w14:paraId="54829F46">
      <w:pPr>
        <w:spacing w:line="360" w:lineRule="exact"/>
        <w:ind w:firstLine="3920" w:firstLineChars="1400"/>
        <w:rPr>
          <w:rFonts w:hint="eastAsia" w:ascii="仿宋" w:hAnsi="仿宋" w:eastAsia="仿宋"/>
          <w:color w:val="auto"/>
          <w:sz w:val="28"/>
          <w:szCs w:val="28"/>
          <w:highlight w:val="none"/>
        </w:rPr>
      </w:pPr>
    </w:p>
    <w:p w14:paraId="7BCACA00">
      <w:pPr>
        <w:spacing w:line="360" w:lineRule="exact"/>
        <w:ind w:firstLine="3920" w:firstLineChars="1400"/>
        <w:rPr>
          <w:rFonts w:hint="eastAsia" w:ascii="仿宋" w:hAnsi="仿宋" w:eastAsia="仿宋"/>
          <w:color w:val="auto"/>
          <w:sz w:val="28"/>
          <w:szCs w:val="28"/>
          <w:highlight w:val="none"/>
        </w:rPr>
      </w:pPr>
    </w:p>
    <w:p w14:paraId="205B2895">
      <w:pPr>
        <w:spacing w:line="360" w:lineRule="exact"/>
        <w:ind w:firstLine="3920" w:firstLineChars="1400"/>
        <w:rPr>
          <w:rFonts w:hint="eastAsia" w:ascii="仿宋" w:hAnsi="仿宋" w:eastAsia="仿宋"/>
          <w:color w:val="auto"/>
          <w:sz w:val="28"/>
          <w:szCs w:val="28"/>
          <w:highlight w:val="none"/>
        </w:rPr>
      </w:pPr>
    </w:p>
    <w:p w14:paraId="3444FF2F">
      <w:pPr>
        <w:spacing w:line="360" w:lineRule="exact"/>
        <w:ind w:firstLine="3920" w:firstLineChars="1400"/>
        <w:rPr>
          <w:rFonts w:hint="eastAsia" w:ascii="仿宋" w:hAnsi="仿宋" w:eastAsia="仿宋"/>
          <w:color w:val="auto"/>
          <w:sz w:val="28"/>
          <w:szCs w:val="28"/>
          <w:highlight w:val="none"/>
        </w:rPr>
      </w:pPr>
    </w:p>
    <w:p w14:paraId="34330D5B">
      <w:pPr>
        <w:spacing w:line="360" w:lineRule="exact"/>
        <w:ind w:firstLine="3920" w:firstLineChars="1400"/>
        <w:rPr>
          <w:rFonts w:hint="eastAsia" w:ascii="仿宋" w:hAnsi="仿宋" w:eastAsia="仿宋"/>
          <w:color w:val="auto"/>
          <w:sz w:val="28"/>
          <w:szCs w:val="28"/>
          <w:highlight w:val="none"/>
        </w:rPr>
      </w:pPr>
    </w:p>
    <w:p w14:paraId="06EAFDE4">
      <w:pPr>
        <w:spacing w:line="360" w:lineRule="exact"/>
        <w:ind w:firstLine="3920" w:firstLineChars="1400"/>
        <w:rPr>
          <w:rFonts w:hint="eastAsia" w:ascii="仿宋" w:hAnsi="仿宋" w:eastAsia="仿宋"/>
          <w:color w:val="auto"/>
          <w:sz w:val="28"/>
          <w:szCs w:val="28"/>
          <w:highlight w:val="none"/>
        </w:rPr>
      </w:pPr>
    </w:p>
    <w:p w14:paraId="5A2B8B03">
      <w:pPr>
        <w:spacing w:line="360" w:lineRule="exact"/>
        <w:ind w:firstLine="3920" w:firstLineChars="1400"/>
        <w:rPr>
          <w:rFonts w:hint="eastAsia" w:ascii="仿宋" w:hAnsi="仿宋" w:eastAsia="仿宋"/>
          <w:color w:val="auto"/>
          <w:sz w:val="28"/>
          <w:szCs w:val="28"/>
          <w:highlight w:val="none"/>
        </w:rPr>
      </w:pPr>
    </w:p>
    <w:p w14:paraId="6A4558FA">
      <w:pPr>
        <w:spacing w:line="360" w:lineRule="auto"/>
        <w:rPr>
          <w:rFonts w:hint="eastAsia" w:ascii="幼圆" w:hAnsi="仿宋" w:eastAsia="幼圆" w:cs="Times New Roman"/>
          <w:b/>
          <w:color w:val="auto"/>
          <w:sz w:val="28"/>
          <w:szCs w:val="28"/>
          <w:highlight w:val="none"/>
          <w:lang w:eastAsia="zh-CN"/>
        </w:rPr>
      </w:pPr>
      <w:r>
        <w:rPr>
          <w:rFonts w:hint="eastAsia" w:ascii="幼圆" w:hAnsi="仿宋" w:eastAsia="幼圆" w:cs="Times New Roman"/>
          <w:b/>
          <w:color w:val="auto"/>
          <w:sz w:val="28"/>
          <w:szCs w:val="28"/>
          <w:highlight w:val="none"/>
        </w:rPr>
        <w:t>附件</w:t>
      </w:r>
      <w:r>
        <w:rPr>
          <w:rFonts w:hint="eastAsia" w:ascii="幼圆" w:hAnsi="仿宋" w:eastAsia="幼圆" w:cs="Times New Roman"/>
          <w:b/>
          <w:color w:val="auto"/>
          <w:sz w:val="28"/>
          <w:szCs w:val="28"/>
          <w:highlight w:val="none"/>
          <w:lang w:val="en-US" w:eastAsia="zh-CN"/>
        </w:rPr>
        <w:t>15</w:t>
      </w:r>
      <w:r>
        <w:rPr>
          <w:rFonts w:hint="eastAsia" w:ascii="幼圆" w:hAnsi="仿宋" w:eastAsia="幼圆" w:cs="Times New Roman"/>
          <w:b/>
          <w:color w:val="auto"/>
          <w:sz w:val="28"/>
          <w:szCs w:val="28"/>
          <w:highlight w:val="none"/>
        </w:rPr>
        <w:t>：</w:t>
      </w:r>
      <w:r>
        <w:rPr>
          <w:rFonts w:hint="eastAsia" w:ascii="幼圆" w:hAnsi="仿宋" w:eastAsia="幼圆" w:cs="Times New Roman"/>
          <w:b/>
          <w:color w:val="auto"/>
          <w:sz w:val="28"/>
          <w:szCs w:val="28"/>
          <w:highlight w:val="none"/>
          <w:lang w:eastAsia="zh-CN"/>
        </w:rPr>
        <w:t>《水产品质量安全承诺书》</w:t>
      </w:r>
    </w:p>
    <w:p w14:paraId="74EA571D">
      <w:pPr>
        <w:spacing w:line="560" w:lineRule="exact"/>
        <w:jc w:val="center"/>
        <w:rPr>
          <w:rFonts w:ascii="Times New Roman" w:hAnsi="Times New Roman" w:eastAsia="方正小标宋_GBK" w:cs="Times New Roman"/>
          <w:color w:val="auto"/>
          <w:sz w:val="36"/>
          <w:szCs w:val="36"/>
          <w:highlight w:val="none"/>
        </w:rPr>
      </w:pPr>
      <w:r>
        <w:rPr>
          <w:rFonts w:ascii="Times New Roman" w:hAnsi="Times New Roman" w:eastAsia="方正小标宋_GBK" w:cs="Times New Roman"/>
          <w:color w:val="auto"/>
          <w:sz w:val="36"/>
          <w:szCs w:val="36"/>
          <w:highlight w:val="none"/>
        </w:rPr>
        <w:t>水产品质量安全承诺书</w:t>
      </w:r>
    </w:p>
    <w:p w14:paraId="73894941">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u w:val="single"/>
        </w:rPr>
        <w:t>盐场市灌东盐场发展有限公司</w:t>
      </w:r>
      <w:r>
        <w:rPr>
          <w:rFonts w:hint="eastAsia" w:ascii="仿宋" w:hAnsi="仿宋" w:eastAsia="仿宋" w:cs="Times New Roman"/>
          <w:color w:val="auto"/>
          <w:sz w:val="28"/>
          <w:szCs w:val="28"/>
          <w:highlight w:val="none"/>
        </w:rPr>
        <w:t>：</w:t>
      </w:r>
    </w:p>
    <w:p w14:paraId="1EC79ECF">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为确保本单位（本人）在招租人区域内所从事的淡水养殖水产品质量安全，现本单位（本人）特作如下承诺。</w:t>
      </w:r>
    </w:p>
    <w:p w14:paraId="2245ACBB">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严格贯彻落实《渔业法》《农产品质量安全法》《兽药管理条例》等相关的法律法规。</w:t>
      </w:r>
    </w:p>
    <w:p w14:paraId="253505D3">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严格执行国家颁布实施的《无公害水产品产地环境要求》《淡水养殖用水水质》《渔用药物使用准则》《渔用配合饲料安全限量》。</w:t>
      </w:r>
    </w:p>
    <w:p w14:paraId="79FA4857">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3、严格执行“水产养殖投入品使用白名单制度”，不使用白名单以外的投入品；遵守和执行投入品进货索证（票）验收、苗种报备准入和水产品销售报备及检验准出等制度和管理要求，做到“六不用、两严禁”，即不用禁用药品，不用停用兽药，不用假、劣兽药，不用原料药，不用人用药，不用农药；严禁尚在休药期内的水产品上市销售，严禁不合格水产品上市销售。</w:t>
      </w:r>
    </w:p>
    <w:p w14:paraId="69DC12F0">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4、严格执行农业农村部渔业渔政管理局制定的《水产养殖用药明白纸》规定，安全使用投入品，不使用氯霉素、硝基呋喃、孔雀石绿、汞制剂等国家规定的禁用渔药或含有上述渔药成分的饲料。积极响应水产养殖用药减量行动的号召，减少渔药及抗生素类兽药使用。</w:t>
      </w:r>
    </w:p>
    <w:p w14:paraId="7768287E">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5、严格执行水产养殖废水达标排放和病、死鱼无害化处理等管理规定。自觉定期监测养殖用水水质，不把受到污染、经处理后仍达不到要求的养殖水体排入河道内，并及时报告当地渔业行政主管部门。</w:t>
      </w:r>
    </w:p>
    <w:p w14:paraId="06E5AD6C">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6、无条件、无任何补偿地配合农业农村部门和招租人工作人员的监督检查和抽样检测工作。</w:t>
      </w:r>
    </w:p>
    <w:p w14:paraId="55D94BAF">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7、本人租赁养殖期间发生的与本人相关的安全责任事故或环保责任事故的，概由本人承担法律责任和经济损失，与招租人无关。</w:t>
      </w:r>
    </w:p>
    <w:p w14:paraId="52FE9D36">
      <w:pPr>
        <w:spacing w:line="480" w:lineRule="exact"/>
        <w:ind w:firstLine="565" w:firstLineChars="202"/>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8、如违反以上任何一条承诺，除愿意接受地方渔业行政主管部门的任何处罚外，自愿向招租人支付惩罚性违约金人民币50万元，并赔偿招租人由此蒙受的经济损失（包括但不限于罚款等经济损失）</w:t>
      </w:r>
      <w:r>
        <w:rPr>
          <w:rFonts w:hint="eastAsia" w:ascii="仿宋" w:hAnsi="仿宋" w:eastAsia="仿宋" w:cs="Times New Roman"/>
          <w:color w:val="auto"/>
          <w:sz w:val="28"/>
          <w:szCs w:val="28"/>
          <w:highlight w:val="none"/>
          <w:lang w:eastAsia="zh-CN"/>
        </w:rPr>
        <w:t>；</w:t>
      </w:r>
      <w:r>
        <w:rPr>
          <w:rFonts w:hint="eastAsia" w:ascii="仿宋" w:hAnsi="仿宋" w:eastAsia="仿宋"/>
          <w:color w:val="auto"/>
          <w:sz w:val="28"/>
          <w:szCs w:val="28"/>
          <w:highlight w:val="none"/>
          <w:lang w:val="en-US" w:eastAsia="zh-CN"/>
        </w:rPr>
        <w:t>同时被纳入“不受欢迎竞租人名单”。</w:t>
      </w:r>
    </w:p>
    <w:p w14:paraId="27A017A4">
      <w:pPr>
        <w:spacing w:line="480" w:lineRule="exact"/>
        <w:ind w:firstLine="565" w:firstLineChars="202"/>
        <w:rPr>
          <w:rFonts w:hint="eastAsia" w:ascii="仿宋" w:hAnsi="仿宋" w:eastAsia="仿宋" w:cs="Times New Roman"/>
          <w:color w:val="auto"/>
          <w:sz w:val="28"/>
          <w:szCs w:val="28"/>
          <w:highlight w:val="none"/>
        </w:rPr>
      </w:pPr>
    </w:p>
    <w:p w14:paraId="2E5AB3E5">
      <w:pPr>
        <w:spacing w:line="480" w:lineRule="exact"/>
        <w:ind w:firstLine="4762" w:firstLineChars="1701"/>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承诺人：</w:t>
      </w:r>
    </w:p>
    <w:p w14:paraId="450C7A28">
      <w:pPr>
        <w:spacing w:line="480" w:lineRule="exact"/>
        <w:ind w:firstLine="565" w:firstLineChars="202"/>
        <w:rPr>
          <w:rFonts w:hint="eastAsia" w:ascii="仿宋" w:hAnsi="仿宋" w:eastAsia="仿宋" w:cs="Times New Roman"/>
          <w:color w:val="auto"/>
          <w:sz w:val="28"/>
          <w:szCs w:val="28"/>
          <w:highlight w:val="none"/>
        </w:rPr>
      </w:pPr>
    </w:p>
    <w:p w14:paraId="3ADA06E9">
      <w:pPr>
        <w:spacing w:line="480" w:lineRule="exact"/>
        <w:ind w:firstLine="4762" w:firstLineChars="1701"/>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签订日期：202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rPr>
        <w:t>年  月  日</w:t>
      </w:r>
    </w:p>
    <w:p w14:paraId="204A1D7B">
      <w:pPr>
        <w:rPr>
          <w:color w:val="auto"/>
          <w:highlight w:val="none"/>
        </w:rPr>
      </w:pPr>
    </w:p>
    <w:p w14:paraId="4C1FEFFF">
      <w:pPr>
        <w:spacing w:line="360" w:lineRule="exact"/>
        <w:ind w:firstLine="3920" w:firstLineChars="1400"/>
        <w:rPr>
          <w:rFonts w:hint="eastAsia" w:ascii="仿宋" w:hAnsi="仿宋" w:eastAsia="仿宋"/>
          <w:color w:val="auto"/>
          <w:sz w:val="28"/>
          <w:szCs w:val="28"/>
          <w:highlight w:val="none"/>
        </w:rPr>
      </w:pPr>
    </w:p>
    <w:p w14:paraId="7652D7DF">
      <w:pPr>
        <w:spacing w:line="360" w:lineRule="exact"/>
        <w:ind w:firstLine="3920" w:firstLineChars="1400"/>
        <w:rPr>
          <w:rFonts w:hint="eastAsia" w:ascii="仿宋" w:hAnsi="仿宋" w:eastAsia="仿宋"/>
          <w:color w:val="auto"/>
          <w:sz w:val="28"/>
          <w:szCs w:val="28"/>
          <w:highlight w:val="none"/>
        </w:rPr>
      </w:pPr>
    </w:p>
    <w:p w14:paraId="33399EE2">
      <w:pPr>
        <w:spacing w:line="360" w:lineRule="exact"/>
        <w:ind w:firstLine="3920" w:firstLineChars="1400"/>
        <w:rPr>
          <w:rFonts w:hint="eastAsia" w:ascii="仿宋" w:hAnsi="仿宋" w:eastAsia="仿宋"/>
          <w:color w:val="auto"/>
          <w:sz w:val="28"/>
          <w:szCs w:val="28"/>
          <w:highlight w:val="none"/>
        </w:rPr>
      </w:pPr>
    </w:p>
    <w:p w14:paraId="3BCFF7AC">
      <w:pPr>
        <w:spacing w:line="360" w:lineRule="exact"/>
        <w:ind w:firstLine="3920" w:firstLineChars="1400"/>
        <w:rPr>
          <w:rFonts w:hint="eastAsia" w:ascii="仿宋" w:hAnsi="仿宋" w:eastAsia="仿宋"/>
          <w:color w:val="auto"/>
          <w:sz w:val="28"/>
          <w:szCs w:val="28"/>
          <w:highlight w:val="none"/>
        </w:rPr>
      </w:pPr>
    </w:p>
    <w:p w14:paraId="7B783B95">
      <w:pPr>
        <w:spacing w:line="360" w:lineRule="exact"/>
        <w:ind w:firstLine="3920" w:firstLineChars="1400"/>
        <w:rPr>
          <w:rFonts w:hint="eastAsia" w:ascii="仿宋" w:hAnsi="仿宋" w:eastAsia="仿宋"/>
          <w:color w:val="auto"/>
          <w:sz w:val="28"/>
          <w:szCs w:val="28"/>
          <w:highlight w:val="none"/>
        </w:rPr>
      </w:pPr>
    </w:p>
    <w:p w14:paraId="77AE9AD5">
      <w:pPr>
        <w:spacing w:line="360" w:lineRule="exact"/>
        <w:ind w:firstLine="3920" w:firstLineChars="1400"/>
        <w:rPr>
          <w:rFonts w:hint="eastAsia" w:ascii="仿宋" w:hAnsi="仿宋" w:eastAsia="仿宋"/>
          <w:color w:val="auto"/>
          <w:sz w:val="28"/>
          <w:szCs w:val="28"/>
          <w:highlight w:val="none"/>
        </w:rPr>
      </w:pPr>
    </w:p>
    <w:p w14:paraId="602566CF">
      <w:pPr>
        <w:spacing w:line="360" w:lineRule="exact"/>
        <w:ind w:firstLine="3920" w:firstLineChars="1400"/>
        <w:rPr>
          <w:rFonts w:hint="eastAsia" w:ascii="仿宋" w:hAnsi="仿宋" w:eastAsia="仿宋"/>
          <w:color w:val="auto"/>
          <w:sz w:val="28"/>
          <w:szCs w:val="28"/>
          <w:highlight w:val="none"/>
        </w:rPr>
      </w:pPr>
    </w:p>
    <w:p w14:paraId="410D2CE9">
      <w:pPr>
        <w:spacing w:line="360" w:lineRule="exact"/>
        <w:ind w:firstLine="3920" w:firstLineChars="1400"/>
        <w:rPr>
          <w:rFonts w:hint="eastAsia" w:ascii="仿宋" w:hAnsi="仿宋" w:eastAsia="仿宋"/>
          <w:color w:val="auto"/>
          <w:sz w:val="28"/>
          <w:szCs w:val="28"/>
          <w:highlight w:val="none"/>
        </w:rPr>
      </w:pPr>
    </w:p>
    <w:p w14:paraId="3347C873">
      <w:pPr>
        <w:spacing w:line="360" w:lineRule="exact"/>
        <w:ind w:firstLine="3920" w:firstLineChars="1400"/>
        <w:rPr>
          <w:rFonts w:hint="eastAsia" w:ascii="仿宋" w:hAnsi="仿宋" w:eastAsia="仿宋"/>
          <w:color w:val="auto"/>
          <w:sz w:val="28"/>
          <w:szCs w:val="28"/>
          <w:highlight w:val="none"/>
        </w:rPr>
      </w:pPr>
    </w:p>
    <w:p w14:paraId="4A8E4F80">
      <w:pPr>
        <w:spacing w:line="360" w:lineRule="exact"/>
        <w:ind w:firstLine="3920" w:firstLineChars="1400"/>
        <w:rPr>
          <w:rFonts w:hint="eastAsia" w:ascii="仿宋" w:hAnsi="仿宋" w:eastAsia="仿宋"/>
          <w:color w:val="auto"/>
          <w:sz w:val="28"/>
          <w:szCs w:val="28"/>
          <w:highlight w:val="none"/>
        </w:rPr>
      </w:pPr>
    </w:p>
    <w:p w14:paraId="5AA1517E">
      <w:pPr>
        <w:spacing w:line="360" w:lineRule="exact"/>
        <w:ind w:firstLine="3920" w:firstLineChars="1400"/>
        <w:rPr>
          <w:rFonts w:hint="eastAsia" w:ascii="仿宋" w:hAnsi="仿宋" w:eastAsia="仿宋"/>
          <w:color w:val="auto"/>
          <w:sz w:val="28"/>
          <w:szCs w:val="28"/>
          <w:highlight w:val="none"/>
        </w:rPr>
      </w:pPr>
    </w:p>
    <w:p w14:paraId="69C0DE07">
      <w:pPr>
        <w:spacing w:line="360" w:lineRule="exact"/>
        <w:ind w:firstLine="3920" w:firstLineChars="1400"/>
        <w:rPr>
          <w:rFonts w:hint="eastAsia" w:ascii="仿宋" w:hAnsi="仿宋" w:eastAsia="仿宋"/>
          <w:color w:val="auto"/>
          <w:sz w:val="28"/>
          <w:szCs w:val="28"/>
          <w:highlight w:val="none"/>
        </w:rPr>
      </w:pPr>
    </w:p>
    <w:p w14:paraId="36A9EF4A">
      <w:pPr>
        <w:spacing w:line="360" w:lineRule="exact"/>
        <w:ind w:firstLine="3920" w:firstLineChars="1400"/>
        <w:rPr>
          <w:rFonts w:hint="eastAsia" w:ascii="仿宋" w:hAnsi="仿宋" w:eastAsia="仿宋"/>
          <w:color w:val="auto"/>
          <w:sz w:val="28"/>
          <w:szCs w:val="28"/>
          <w:highlight w:val="none"/>
        </w:rPr>
      </w:pPr>
    </w:p>
    <w:p w14:paraId="55361949">
      <w:pPr>
        <w:spacing w:line="360" w:lineRule="exact"/>
        <w:ind w:firstLine="3920" w:firstLineChars="1400"/>
        <w:rPr>
          <w:rFonts w:hint="eastAsia" w:ascii="仿宋" w:hAnsi="仿宋" w:eastAsia="仿宋"/>
          <w:color w:val="auto"/>
          <w:sz w:val="28"/>
          <w:szCs w:val="28"/>
          <w:highlight w:val="none"/>
        </w:rPr>
      </w:pPr>
    </w:p>
    <w:p w14:paraId="2A61E989">
      <w:pPr>
        <w:spacing w:line="360" w:lineRule="exact"/>
        <w:ind w:firstLine="3920" w:firstLineChars="1400"/>
        <w:rPr>
          <w:rFonts w:hint="eastAsia" w:ascii="仿宋" w:hAnsi="仿宋" w:eastAsia="仿宋"/>
          <w:color w:val="auto"/>
          <w:sz w:val="28"/>
          <w:szCs w:val="28"/>
          <w:highlight w:val="none"/>
        </w:rPr>
      </w:pPr>
    </w:p>
    <w:p w14:paraId="23FCCDFC">
      <w:pPr>
        <w:spacing w:line="360" w:lineRule="exact"/>
        <w:ind w:firstLine="3920" w:firstLineChars="1400"/>
        <w:rPr>
          <w:rFonts w:hint="eastAsia" w:ascii="仿宋" w:hAnsi="仿宋" w:eastAsia="仿宋"/>
          <w:color w:val="auto"/>
          <w:sz w:val="28"/>
          <w:szCs w:val="28"/>
          <w:highlight w:val="none"/>
        </w:rPr>
      </w:pPr>
    </w:p>
    <w:p w14:paraId="1B1B615B">
      <w:pPr>
        <w:spacing w:line="360" w:lineRule="exact"/>
        <w:ind w:firstLine="3920" w:firstLineChars="1400"/>
        <w:rPr>
          <w:rFonts w:hint="eastAsia" w:ascii="仿宋" w:hAnsi="仿宋" w:eastAsia="仿宋"/>
          <w:color w:val="auto"/>
          <w:sz w:val="28"/>
          <w:szCs w:val="28"/>
          <w:highlight w:val="none"/>
        </w:rPr>
      </w:pPr>
    </w:p>
    <w:p w14:paraId="2FB78F3F">
      <w:pPr>
        <w:spacing w:line="360" w:lineRule="exact"/>
        <w:ind w:firstLine="3920" w:firstLineChars="1400"/>
        <w:rPr>
          <w:rFonts w:hint="eastAsia" w:ascii="仿宋" w:hAnsi="仿宋" w:eastAsia="仿宋"/>
          <w:color w:val="auto"/>
          <w:sz w:val="28"/>
          <w:szCs w:val="28"/>
          <w:highlight w:val="none"/>
        </w:rPr>
      </w:pPr>
    </w:p>
    <w:p w14:paraId="7576D1B7">
      <w:pPr>
        <w:spacing w:line="360" w:lineRule="exact"/>
        <w:ind w:firstLine="3920" w:firstLineChars="1400"/>
        <w:rPr>
          <w:rFonts w:hint="eastAsia" w:ascii="仿宋" w:hAnsi="仿宋" w:eastAsia="仿宋"/>
          <w:color w:val="auto"/>
          <w:sz w:val="28"/>
          <w:szCs w:val="28"/>
          <w:highlight w:val="none"/>
        </w:rPr>
      </w:pPr>
    </w:p>
    <w:p w14:paraId="3F3EE2EC">
      <w:pPr>
        <w:spacing w:line="360" w:lineRule="exact"/>
        <w:ind w:firstLine="3920" w:firstLineChars="1400"/>
        <w:rPr>
          <w:rFonts w:hint="eastAsia" w:ascii="仿宋" w:hAnsi="仿宋" w:eastAsia="仿宋"/>
          <w:color w:val="auto"/>
          <w:sz w:val="28"/>
          <w:szCs w:val="28"/>
          <w:highlight w:val="none"/>
        </w:rPr>
      </w:pPr>
    </w:p>
    <w:p w14:paraId="034521D6">
      <w:pPr>
        <w:spacing w:line="360" w:lineRule="exact"/>
        <w:ind w:firstLine="3920" w:firstLineChars="1400"/>
        <w:rPr>
          <w:rFonts w:hint="eastAsia" w:ascii="仿宋" w:hAnsi="仿宋" w:eastAsia="仿宋"/>
          <w:color w:val="auto"/>
          <w:sz w:val="28"/>
          <w:szCs w:val="28"/>
          <w:highlight w:val="none"/>
        </w:rPr>
      </w:pPr>
    </w:p>
    <w:p w14:paraId="6A8E8013">
      <w:pPr>
        <w:spacing w:line="360" w:lineRule="exact"/>
        <w:ind w:firstLine="3920" w:firstLineChars="1400"/>
        <w:rPr>
          <w:rFonts w:hint="eastAsia" w:ascii="仿宋" w:hAnsi="仿宋" w:eastAsia="仿宋"/>
          <w:color w:val="auto"/>
          <w:sz w:val="28"/>
          <w:szCs w:val="28"/>
          <w:highlight w:val="none"/>
        </w:rPr>
      </w:pPr>
    </w:p>
    <w:p w14:paraId="632BE93B">
      <w:pPr>
        <w:spacing w:line="360" w:lineRule="exact"/>
        <w:ind w:firstLine="3920" w:firstLineChars="1400"/>
        <w:rPr>
          <w:rFonts w:hint="eastAsia" w:ascii="仿宋" w:hAnsi="仿宋" w:eastAsia="仿宋"/>
          <w:color w:val="auto"/>
          <w:sz w:val="28"/>
          <w:szCs w:val="28"/>
          <w:highlight w:val="none"/>
        </w:rPr>
      </w:pPr>
    </w:p>
    <w:p w14:paraId="55D0525A">
      <w:pPr>
        <w:spacing w:line="360" w:lineRule="exact"/>
        <w:ind w:firstLine="3920" w:firstLineChars="1400"/>
        <w:rPr>
          <w:rFonts w:hint="eastAsia" w:ascii="仿宋" w:hAnsi="仿宋" w:eastAsia="仿宋"/>
          <w:color w:val="auto"/>
          <w:sz w:val="28"/>
          <w:szCs w:val="28"/>
          <w:highlight w:val="none"/>
        </w:rPr>
      </w:pPr>
    </w:p>
    <w:p w14:paraId="001C807C">
      <w:pPr>
        <w:spacing w:line="360" w:lineRule="exact"/>
        <w:ind w:firstLine="3920" w:firstLineChars="1400"/>
        <w:rPr>
          <w:rFonts w:hint="eastAsia" w:ascii="仿宋" w:hAnsi="仿宋" w:eastAsia="仿宋"/>
          <w:color w:val="auto"/>
          <w:sz w:val="28"/>
          <w:szCs w:val="28"/>
          <w:highlight w:val="none"/>
        </w:rPr>
      </w:pPr>
    </w:p>
    <w:p w14:paraId="65AC61A3">
      <w:pPr>
        <w:spacing w:line="360" w:lineRule="exact"/>
        <w:ind w:firstLine="3920" w:firstLineChars="1400"/>
        <w:rPr>
          <w:rFonts w:hint="eastAsia" w:ascii="仿宋" w:hAnsi="仿宋" w:eastAsia="仿宋"/>
          <w:color w:val="auto"/>
          <w:sz w:val="28"/>
          <w:szCs w:val="28"/>
          <w:highlight w:val="none"/>
        </w:rPr>
      </w:pPr>
    </w:p>
    <w:p w14:paraId="712A3B15">
      <w:pPr>
        <w:spacing w:line="360" w:lineRule="exact"/>
        <w:ind w:firstLine="3920" w:firstLineChars="1400"/>
        <w:rPr>
          <w:rFonts w:hint="eastAsia" w:ascii="仿宋" w:hAnsi="仿宋" w:eastAsia="仿宋"/>
          <w:color w:val="auto"/>
          <w:sz w:val="28"/>
          <w:szCs w:val="28"/>
          <w:highlight w:val="none"/>
        </w:rPr>
      </w:pPr>
    </w:p>
    <w:tbl>
      <w:tblPr>
        <w:tblStyle w:val="8"/>
        <w:tblW w:w="98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8"/>
        <w:gridCol w:w="5462"/>
        <w:gridCol w:w="641"/>
        <w:gridCol w:w="432"/>
        <w:gridCol w:w="14"/>
        <w:gridCol w:w="418"/>
        <w:gridCol w:w="369"/>
        <w:gridCol w:w="69"/>
        <w:gridCol w:w="317"/>
        <w:gridCol w:w="118"/>
        <w:gridCol w:w="403"/>
        <w:gridCol w:w="915"/>
      </w:tblGrid>
      <w:tr w14:paraId="0EDC4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841" w:type="dxa"/>
            <w:gridSpan w:val="3"/>
            <w:tcBorders>
              <w:top w:val="nil"/>
              <w:left w:val="nil"/>
              <w:bottom w:val="nil"/>
              <w:right w:val="nil"/>
            </w:tcBorders>
            <w:shd w:val="clear" w:color="auto" w:fill="auto"/>
            <w:noWrap/>
            <w:vAlign w:val="center"/>
          </w:tcPr>
          <w:p w14:paraId="505E0AD1">
            <w:pPr>
              <w:keepNext w:val="0"/>
              <w:keepLines w:val="0"/>
              <w:widowControl/>
              <w:suppressLineNumbers w:val="0"/>
              <w:jc w:val="left"/>
              <w:textAlignment w:val="center"/>
              <w:rPr>
                <w:rFonts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附件16：《承租人租赁期间诚信履约记录表》</w:t>
            </w:r>
          </w:p>
        </w:tc>
        <w:tc>
          <w:tcPr>
            <w:tcW w:w="446" w:type="dxa"/>
            <w:gridSpan w:val="2"/>
            <w:tcBorders>
              <w:top w:val="nil"/>
              <w:left w:val="nil"/>
              <w:bottom w:val="nil"/>
              <w:right w:val="nil"/>
            </w:tcBorders>
            <w:shd w:val="clear" w:color="auto" w:fill="auto"/>
            <w:vAlign w:val="center"/>
          </w:tcPr>
          <w:p w14:paraId="2ACF6D3A">
            <w:pPr>
              <w:rPr>
                <w:rFonts w:hint="eastAsia" w:ascii="宋体" w:hAnsi="宋体" w:eastAsia="宋体" w:cs="宋体"/>
                <w:i w:val="0"/>
                <w:iCs w:val="0"/>
                <w:color w:val="auto"/>
                <w:sz w:val="22"/>
                <w:szCs w:val="22"/>
                <w:highlight w:val="none"/>
                <w:u w:val="none"/>
              </w:rPr>
            </w:pPr>
          </w:p>
        </w:tc>
        <w:tc>
          <w:tcPr>
            <w:tcW w:w="418" w:type="dxa"/>
            <w:tcBorders>
              <w:top w:val="nil"/>
              <w:left w:val="nil"/>
              <w:bottom w:val="nil"/>
              <w:right w:val="nil"/>
            </w:tcBorders>
            <w:shd w:val="clear" w:color="auto" w:fill="auto"/>
            <w:vAlign w:val="center"/>
          </w:tcPr>
          <w:p w14:paraId="1EB3AC25">
            <w:pPr>
              <w:rPr>
                <w:rFonts w:hint="eastAsia" w:ascii="宋体" w:hAnsi="宋体" w:eastAsia="宋体" w:cs="宋体"/>
                <w:i w:val="0"/>
                <w:iCs w:val="0"/>
                <w:color w:val="auto"/>
                <w:sz w:val="22"/>
                <w:szCs w:val="22"/>
                <w:highlight w:val="none"/>
                <w:u w:val="none"/>
              </w:rPr>
            </w:pPr>
          </w:p>
        </w:tc>
        <w:tc>
          <w:tcPr>
            <w:tcW w:w="369" w:type="dxa"/>
            <w:tcBorders>
              <w:top w:val="nil"/>
              <w:left w:val="nil"/>
              <w:bottom w:val="nil"/>
              <w:right w:val="nil"/>
            </w:tcBorders>
            <w:shd w:val="clear" w:color="auto" w:fill="auto"/>
            <w:vAlign w:val="center"/>
          </w:tcPr>
          <w:p w14:paraId="42471AA5">
            <w:pPr>
              <w:rPr>
                <w:rFonts w:hint="eastAsia" w:ascii="宋体" w:hAnsi="宋体" w:eastAsia="宋体" w:cs="宋体"/>
                <w:i w:val="0"/>
                <w:iCs w:val="0"/>
                <w:color w:val="auto"/>
                <w:sz w:val="22"/>
                <w:szCs w:val="22"/>
                <w:highlight w:val="none"/>
                <w:u w:val="none"/>
              </w:rPr>
            </w:pPr>
          </w:p>
        </w:tc>
        <w:tc>
          <w:tcPr>
            <w:tcW w:w="386" w:type="dxa"/>
            <w:gridSpan w:val="2"/>
            <w:tcBorders>
              <w:top w:val="nil"/>
              <w:left w:val="nil"/>
              <w:bottom w:val="nil"/>
              <w:right w:val="nil"/>
            </w:tcBorders>
            <w:shd w:val="clear" w:color="auto" w:fill="auto"/>
            <w:vAlign w:val="center"/>
          </w:tcPr>
          <w:p w14:paraId="22D9990B">
            <w:pPr>
              <w:rPr>
                <w:rFonts w:hint="eastAsia" w:ascii="宋体" w:hAnsi="宋体" w:eastAsia="宋体" w:cs="宋体"/>
                <w:i w:val="0"/>
                <w:iCs w:val="0"/>
                <w:color w:val="auto"/>
                <w:sz w:val="22"/>
                <w:szCs w:val="22"/>
                <w:highlight w:val="none"/>
                <w:u w:val="none"/>
              </w:rPr>
            </w:pPr>
          </w:p>
        </w:tc>
        <w:tc>
          <w:tcPr>
            <w:tcW w:w="521" w:type="dxa"/>
            <w:gridSpan w:val="2"/>
            <w:tcBorders>
              <w:top w:val="nil"/>
              <w:left w:val="nil"/>
              <w:bottom w:val="nil"/>
              <w:right w:val="nil"/>
            </w:tcBorders>
            <w:shd w:val="clear" w:color="auto" w:fill="auto"/>
            <w:vAlign w:val="center"/>
          </w:tcPr>
          <w:p w14:paraId="5F211868">
            <w:pPr>
              <w:rPr>
                <w:rFonts w:hint="eastAsia" w:ascii="宋体" w:hAnsi="宋体" w:eastAsia="宋体" w:cs="宋体"/>
                <w:i w:val="0"/>
                <w:iCs w:val="0"/>
                <w:color w:val="auto"/>
                <w:sz w:val="22"/>
                <w:szCs w:val="22"/>
                <w:highlight w:val="none"/>
                <w:u w:val="none"/>
              </w:rPr>
            </w:pPr>
          </w:p>
        </w:tc>
        <w:tc>
          <w:tcPr>
            <w:tcW w:w="915" w:type="dxa"/>
            <w:tcBorders>
              <w:top w:val="nil"/>
              <w:left w:val="nil"/>
              <w:bottom w:val="nil"/>
              <w:right w:val="nil"/>
            </w:tcBorders>
            <w:shd w:val="clear" w:color="auto" w:fill="auto"/>
            <w:noWrap/>
            <w:vAlign w:val="center"/>
          </w:tcPr>
          <w:p w14:paraId="4EF7E03B">
            <w:pPr>
              <w:rPr>
                <w:rFonts w:hint="eastAsia" w:ascii="宋体" w:hAnsi="宋体" w:eastAsia="宋体" w:cs="宋体"/>
                <w:i w:val="0"/>
                <w:iCs w:val="0"/>
                <w:color w:val="auto"/>
                <w:sz w:val="22"/>
                <w:szCs w:val="22"/>
                <w:highlight w:val="none"/>
                <w:u w:val="none"/>
              </w:rPr>
            </w:pPr>
          </w:p>
        </w:tc>
      </w:tr>
      <w:tr w14:paraId="0910C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896" w:type="dxa"/>
            <w:gridSpan w:val="12"/>
            <w:tcBorders>
              <w:top w:val="nil"/>
              <w:left w:val="nil"/>
              <w:bottom w:val="nil"/>
              <w:right w:val="nil"/>
            </w:tcBorders>
            <w:shd w:val="clear" w:color="auto" w:fill="auto"/>
            <w:noWrap/>
            <w:vAlign w:val="center"/>
          </w:tcPr>
          <w:p w14:paraId="1AC2CEEA">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承租人租赁期间诚信履约记录表</w:t>
            </w:r>
          </w:p>
        </w:tc>
      </w:tr>
      <w:tr w14:paraId="2EE77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D05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61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A4EE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履约情况</w:t>
            </w:r>
          </w:p>
        </w:tc>
        <w:tc>
          <w:tcPr>
            <w:tcW w:w="17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AFE3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记录分</w:t>
            </w:r>
          </w:p>
        </w:tc>
        <w:tc>
          <w:tcPr>
            <w:tcW w:w="13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674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tr w14:paraId="31E56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AC1B8">
            <w:pPr>
              <w:jc w:val="center"/>
              <w:rPr>
                <w:rFonts w:hint="eastAsia" w:ascii="宋体" w:hAnsi="宋体" w:eastAsia="宋体" w:cs="宋体"/>
                <w:i w:val="0"/>
                <w:iCs w:val="0"/>
                <w:color w:val="auto"/>
                <w:sz w:val="22"/>
                <w:szCs w:val="22"/>
                <w:highlight w:val="none"/>
                <w:u w:val="none"/>
              </w:rPr>
            </w:pP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D8E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内  容</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FD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每项分数</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E94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扣分理由</w:t>
            </w: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CFB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扣分次数</w:t>
            </w: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B50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扣分时间</w:t>
            </w: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DE5B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累计扣分</w:t>
            </w: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A4535">
            <w:pPr>
              <w:jc w:val="center"/>
              <w:rPr>
                <w:rFonts w:hint="eastAsia" w:ascii="宋体" w:hAnsi="宋体" w:eastAsia="宋体" w:cs="宋体"/>
                <w:i w:val="0"/>
                <w:iCs w:val="0"/>
                <w:color w:val="auto"/>
                <w:sz w:val="22"/>
                <w:szCs w:val="22"/>
                <w:highlight w:val="none"/>
                <w:u w:val="none"/>
              </w:rPr>
            </w:pPr>
          </w:p>
        </w:tc>
      </w:tr>
      <w:tr w14:paraId="32554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D5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0"/>
                <w:szCs w:val="20"/>
                <w:highlight w:val="none"/>
                <w:u w:val="none"/>
                <w:lang w:val="en-US" w:eastAsia="zh-CN" w:bidi="ar"/>
              </w:rPr>
              <w:t>（一）</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AEA0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租金缴纳</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EC767">
            <w:pPr>
              <w:jc w:val="center"/>
              <w:rPr>
                <w:rFonts w:hint="eastAsia" w:ascii="宋体" w:hAnsi="宋体" w:eastAsia="宋体" w:cs="宋体"/>
                <w:i w:val="0"/>
                <w:iCs w:val="0"/>
                <w:color w:val="auto"/>
                <w:sz w:val="22"/>
                <w:szCs w:val="22"/>
                <w:highlight w:val="none"/>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C1B3">
            <w:pPr>
              <w:jc w:val="cente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EF2E33">
            <w:pPr>
              <w:jc w:val="cente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E14C4">
            <w:pPr>
              <w:jc w:val="cente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674E2">
            <w:pPr>
              <w:jc w:val="center"/>
              <w:rPr>
                <w:rFonts w:hint="eastAsia" w:ascii="宋体" w:hAnsi="宋体" w:eastAsia="宋体" w:cs="宋体"/>
                <w:i w:val="0"/>
                <w:iCs w:val="0"/>
                <w:color w:val="auto"/>
                <w:sz w:val="22"/>
                <w:szCs w:val="22"/>
                <w:highlight w:val="none"/>
                <w:u w:val="none"/>
              </w:rPr>
            </w:pPr>
          </w:p>
        </w:tc>
        <w:tc>
          <w:tcPr>
            <w:tcW w:w="13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7123">
            <w:pPr>
              <w:jc w:val="center"/>
              <w:rPr>
                <w:rFonts w:hint="eastAsia" w:ascii="宋体" w:hAnsi="宋体" w:eastAsia="宋体" w:cs="宋体"/>
                <w:i w:val="0"/>
                <w:iCs w:val="0"/>
                <w:color w:val="auto"/>
                <w:sz w:val="22"/>
                <w:szCs w:val="22"/>
                <w:highlight w:val="none"/>
                <w:u w:val="none"/>
              </w:rPr>
            </w:pPr>
          </w:p>
        </w:tc>
      </w:tr>
      <w:tr w14:paraId="230B7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B44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24DA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按期缴纳承包费（租金、池塘占用费）的。</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24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9D40">
            <w:pPr>
              <w:jc w:val="cente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BED496">
            <w:pPr>
              <w:jc w:val="cente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0F14E">
            <w:pPr>
              <w:jc w:val="cente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5DFCBF">
            <w:pPr>
              <w:jc w:val="cente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18574">
            <w:pPr>
              <w:jc w:val="center"/>
              <w:rPr>
                <w:rFonts w:hint="eastAsia" w:ascii="宋体" w:hAnsi="宋体" w:eastAsia="宋体" w:cs="宋体"/>
                <w:i w:val="0"/>
                <w:iCs w:val="0"/>
                <w:color w:val="auto"/>
                <w:sz w:val="22"/>
                <w:szCs w:val="22"/>
                <w:highlight w:val="none"/>
                <w:u w:val="none"/>
              </w:rPr>
            </w:pPr>
          </w:p>
        </w:tc>
      </w:tr>
      <w:tr w14:paraId="7EA93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772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8845F">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合同租期届满或合同解除时，承租人将池塘及其投入资产按不低于完好率85%移交甲方的。</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342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63EB2">
            <w:pPr>
              <w:jc w:val="cente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6F1BBE">
            <w:pPr>
              <w:jc w:val="cente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129C4">
            <w:pPr>
              <w:jc w:val="cente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111D5">
            <w:pPr>
              <w:jc w:val="cente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F1F11">
            <w:pPr>
              <w:jc w:val="center"/>
              <w:rPr>
                <w:rFonts w:hint="eastAsia" w:ascii="宋体" w:hAnsi="宋体" w:eastAsia="宋体" w:cs="宋体"/>
                <w:i w:val="0"/>
                <w:iCs w:val="0"/>
                <w:color w:val="auto"/>
                <w:sz w:val="22"/>
                <w:szCs w:val="22"/>
                <w:highlight w:val="none"/>
                <w:u w:val="none"/>
              </w:rPr>
            </w:pPr>
          </w:p>
        </w:tc>
      </w:tr>
      <w:tr w14:paraId="1335E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E6C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0"/>
                <w:szCs w:val="20"/>
                <w:highlight w:val="none"/>
                <w:u w:val="none"/>
                <w:lang w:val="en-US" w:eastAsia="zh-CN" w:bidi="ar"/>
              </w:rPr>
              <w:t>（二）</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3118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水产品质量安全</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8E9A">
            <w:pPr>
              <w:jc w:val="center"/>
              <w:rPr>
                <w:rFonts w:hint="eastAsia" w:ascii="宋体" w:hAnsi="宋体" w:eastAsia="宋体" w:cs="宋体"/>
                <w:i w:val="0"/>
                <w:iCs w:val="0"/>
                <w:color w:val="auto"/>
                <w:sz w:val="22"/>
                <w:szCs w:val="22"/>
                <w:highlight w:val="none"/>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9BBB">
            <w:pPr>
              <w:jc w:val="cente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3CCF6">
            <w:pPr>
              <w:jc w:val="cente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47E48">
            <w:pPr>
              <w:jc w:val="cente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A0D8B">
            <w:pPr>
              <w:jc w:val="center"/>
              <w:rPr>
                <w:rFonts w:hint="eastAsia" w:ascii="宋体" w:hAnsi="宋体" w:eastAsia="宋体" w:cs="宋体"/>
                <w:i w:val="0"/>
                <w:iCs w:val="0"/>
                <w:color w:val="auto"/>
                <w:sz w:val="22"/>
                <w:szCs w:val="22"/>
                <w:highlight w:val="none"/>
                <w:u w:val="none"/>
              </w:rPr>
            </w:pPr>
          </w:p>
        </w:tc>
        <w:tc>
          <w:tcPr>
            <w:tcW w:w="1318" w:type="dxa"/>
            <w:gridSpan w:val="2"/>
            <w:tcBorders>
              <w:top w:val="nil"/>
              <w:left w:val="single" w:color="000000" w:sz="4" w:space="0"/>
              <w:bottom w:val="nil"/>
              <w:right w:val="single" w:color="000000" w:sz="4" w:space="0"/>
            </w:tcBorders>
            <w:shd w:val="clear" w:color="auto" w:fill="auto"/>
            <w:noWrap/>
            <w:vAlign w:val="center"/>
          </w:tcPr>
          <w:p w14:paraId="2423046A">
            <w:pPr>
              <w:jc w:val="center"/>
              <w:rPr>
                <w:rFonts w:hint="eastAsia" w:ascii="宋体" w:hAnsi="宋体" w:eastAsia="宋体" w:cs="宋体"/>
                <w:i w:val="0"/>
                <w:iCs w:val="0"/>
                <w:color w:val="auto"/>
                <w:sz w:val="22"/>
                <w:szCs w:val="22"/>
                <w:highlight w:val="none"/>
                <w:u w:val="none"/>
              </w:rPr>
            </w:pPr>
          </w:p>
        </w:tc>
      </w:tr>
      <w:tr w14:paraId="1A771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61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A21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承租人不得使用敌敌畏等国家相关法律法规禁止使用的投入品清塘。</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727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16329">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85607B">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D6922">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D8368">
            <w:pPr>
              <w:rPr>
                <w:rFonts w:hint="eastAsia" w:ascii="宋体" w:hAnsi="宋体" w:eastAsia="宋体" w:cs="宋体"/>
                <w:i w:val="0"/>
                <w:iCs w:val="0"/>
                <w:color w:val="auto"/>
                <w:sz w:val="22"/>
                <w:szCs w:val="22"/>
                <w:highlight w:val="none"/>
                <w:u w:val="none"/>
              </w:rPr>
            </w:pPr>
          </w:p>
        </w:tc>
        <w:tc>
          <w:tcPr>
            <w:tcW w:w="13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0BD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合同期内，承租人违反累计超过三项且未及时整改的，将取消其以后在灌东盐场池塘招租时的竞租资格</w:t>
            </w:r>
          </w:p>
        </w:tc>
      </w:tr>
      <w:tr w14:paraId="5393D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0C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1DF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苗种进入养殖区，承租人必须提供苗种检测检疫合格报告、苗种生产许可证等相关资料主动报备，未报备或资料不全不得进入养殖区。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E9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B47C">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05512">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D1D0F">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4CC8A">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B09BF">
            <w:pPr>
              <w:jc w:val="center"/>
              <w:rPr>
                <w:rFonts w:hint="eastAsia" w:ascii="宋体" w:hAnsi="宋体" w:eastAsia="宋体" w:cs="宋体"/>
                <w:i w:val="0"/>
                <w:iCs w:val="0"/>
                <w:color w:val="auto"/>
                <w:sz w:val="22"/>
                <w:szCs w:val="22"/>
                <w:highlight w:val="none"/>
                <w:u w:val="none"/>
              </w:rPr>
            </w:pPr>
          </w:p>
        </w:tc>
      </w:tr>
      <w:tr w14:paraId="42184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646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CAF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渔药、饲料、改底、消毒等投入品进入养殖区，承租人需提供兽药生产许可证、批准文号、GMP认证、产品合格证、营业执照、饲料生产许可证、卫生许可证、注册商标、产品检测报告等相关资料主动报备。未报备或资料不全不得进入养殖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6CD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778B2">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43F3C">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4ED11">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D6800">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FE8FB">
            <w:pPr>
              <w:jc w:val="center"/>
              <w:rPr>
                <w:rFonts w:hint="eastAsia" w:ascii="宋体" w:hAnsi="宋体" w:eastAsia="宋体" w:cs="宋体"/>
                <w:i w:val="0"/>
                <w:iCs w:val="0"/>
                <w:color w:val="auto"/>
                <w:sz w:val="22"/>
                <w:szCs w:val="22"/>
                <w:highlight w:val="none"/>
                <w:u w:val="none"/>
              </w:rPr>
            </w:pPr>
          </w:p>
        </w:tc>
      </w:tr>
      <w:tr w14:paraId="62D34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574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654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自行加工或代加工的饲料，承租人需提供有资质的第三方检疫检测合格报告、自我承诺书等相关资料备案登记，加工厂和承租人出具承诺不使用违禁添加剂、转基因原料。</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D55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B1DA">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76DEC">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AF495">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1CFB5">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FAAFB">
            <w:pPr>
              <w:jc w:val="center"/>
              <w:rPr>
                <w:rFonts w:hint="eastAsia" w:ascii="宋体" w:hAnsi="宋体" w:eastAsia="宋体" w:cs="宋体"/>
                <w:i w:val="0"/>
                <w:iCs w:val="0"/>
                <w:color w:val="auto"/>
                <w:sz w:val="22"/>
                <w:szCs w:val="22"/>
                <w:highlight w:val="none"/>
                <w:u w:val="none"/>
              </w:rPr>
            </w:pPr>
          </w:p>
        </w:tc>
      </w:tr>
      <w:tr w14:paraId="41615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AA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335D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承租人使用处方药的，必须持有兽医开具的处方，方可进入养殖区使用。</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A7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66657">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6970B">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F8660">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FE7A8">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2C1C6">
            <w:pPr>
              <w:jc w:val="center"/>
              <w:rPr>
                <w:rFonts w:hint="eastAsia" w:ascii="宋体" w:hAnsi="宋体" w:eastAsia="宋体" w:cs="宋体"/>
                <w:i w:val="0"/>
                <w:iCs w:val="0"/>
                <w:color w:val="auto"/>
                <w:sz w:val="22"/>
                <w:szCs w:val="22"/>
                <w:highlight w:val="none"/>
                <w:u w:val="none"/>
              </w:rPr>
            </w:pPr>
          </w:p>
        </w:tc>
      </w:tr>
      <w:tr w14:paraId="2A2C2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98B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7CC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承租人不得使用禁用药品，停用兽药，假、劣兽药，原料药，人用药，农药，不得违反休药期管理规定。不合格投入品不得投入使用，投入品必须保存好进货证（票）以备检查。</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76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5CF3">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4B09E">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4921C">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9179D">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29B8C">
            <w:pPr>
              <w:jc w:val="center"/>
              <w:rPr>
                <w:rFonts w:hint="eastAsia" w:ascii="宋体" w:hAnsi="宋体" w:eastAsia="宋体" w:cs="宋体"/>
                <w:i w:val="0"/>
                <w:iCs w:val="0"/>
                <w:color w:val="auto"/>
                <w:sz w:val="22"/>
                <w:szCs w:val="22"/>
                <w:highlight w:val="none"/>
                <w:u w:val="none"/>
              </w:rPr>
            </w:pPr>
          </w:p>
        </w:tc>
      </w:tr>
      <w:tr w14:paraId="59BF7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FA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D05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承租人需要销售的水产品，必须提前3天向养殖区报备，并提供完整的三项记录，样品经检测合格后，开具“一车一证”、“一批一证”承诺达标合格证后，方可取捕销售，确保水产品可追溯。</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8F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0.5</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AD39">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3F5A3A">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C5AEB">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DE1AF3">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68BE">
            <w:pPr>
              <w:jc w:val="center"/>
              <w:rPr>
                <w:rFonts w:hint="eastAsia" w:ascii="宋体" w:hAnsi="宋体" w:eastAsia="宋体" w:cs="宋体"/>
                <w:i w:val="0"/>
                <w:iCs w:val="0"/>
                <w:color w:val="auto"/>
                <w:sz w:val="22"/>
                <w:szCs w:val="22"/>
                <w:highlight w:val="none"/>
                <w:u w:val="none"/>
              </w:rPr>
            </w:pPr>
          </w:p>
        </w:tc>
      </w:tr>
      <w:tr w14:paraId="2145E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D1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1F2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承租人必须规范建立水产养殖“三项记录”档案，认真填写《养殖生产记录》《用药记录》《销售记录》，相关档案资料留存时间不少于2年。</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613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DEAD0">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22C88">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1DAF3">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42FEBF">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F6DF7">
            <w:pPr>
              <w:jc w:val="center"/>
              <w:rPr>
                <w:rFonts w:hint="eastAsia" w:ascii="宋体" w:hAnsi="宋体" w:eastAsia="宋体" w:cs="宋体"/>
                <w:i w:val="0"/>
                <w:iCs w:val="0"/>
                <w:color w:val="auto"/>
                <w:sz w:val="22"/>
                <w:szCs w:val="22"/>
                <w:highlight w:val="none"/>
                <w:u w:val="none"/>
              </w:rPr>
            </w:pPr>
          </w:p>
        </w:tc>
      </w:tr>
      <w:tr w14:paraId="27A30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0B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B8B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承租人严禁随意处理和销售病、死鱼，必须按国家相关规定采取无害化处理。</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5F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0.5</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1A24">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034B5B">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0D70C">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60769">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6E177">
            <w:pPr>
              <w:jc w:val="center"/>
              <w:rPr>
                <w:rFonts w:hint="eastAsia" w:ascii="宋体" w:hAnsi="宋体" w:eastAsia="宋体" w:cs="宋体"/>
                <w:i w:val="0"/>
                <w:iCs w:val="0"/>
                <w:color w:val="auto"/>
                <w:sz w:val="22"/>
                <w:szCs w:val="22"/>
                <w:highlight w:val="none"/>
                <w:u w:val="none"/>
              </w:rPr>
            </w:pPr>
          </w:p>
        </w:tc>
      </w:tr>
      <w:tr w14:paraId="2DFEC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47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106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承租人需排放养殖尾水或清塘废水的，必须如实记录排放信息，相关排放资料留存时间不得少于2年。</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EC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2D91E">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D0FBE">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76FD8">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E25755">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899F24">
            <w:pPr>
              <w:jc w:val="center"/>
              <w:rPr>
                <w:rFonts w:hint="eastAsia" w:ascii="宋体" w:hAnsi="宋体" w:eastAsia="宋体" w:cs="宋体"/>
                <w:i w:val="0"/>
                <w:iCs w:val="0"/>
                <w:color w:val="auto"/>
                <w:sz w:val="22"/>
                <w:szCs w:val="22"/>
                <w:highlight w:val="none"/>
                <w:u w:val="none"/>
              </w:rPr>
            </w:pPr>
          </w:p>
        </w:tc>
      </w:tr>
      <w:tr w14:paraId="3A1C2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69F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DB71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承租人必须签订水产品质量安全承诺书，并张贴在养殖生产场所醒目处。</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D3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BC884">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1E4AD">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5D1D5">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4D42C">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0A26B2">
            <w:pPr>
              <w:jc w:val="center"/>
              <w:rPr>
                <w:rFonts w:hint="eastAsia" w:ascii="宋体" w:hAnsi="宋体" w:eastAsia="宋体" w:cs="宋体"/>
                <w:i w:val="0"/>
                <w:iCs w:val="0"/>
                <w:color w:val="auto"/>
                <w:sz w:val="22"/>
                <w:szCs w:val="22"/>
                <w:highlight w:val="none"/>
                <w:u w:val="none"/>
              </w:rPr>
            </w:pPr>
          </w:p>
        </w:tc>
      </w:tr>
      <w:tr w14:paraId="45CB2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B8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35D4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必须配合农业农村部门和灌东盐场相关工作人员的监督检查和抽样检测工作。</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92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0.1</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E619">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4015E">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89DDF">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99FFD">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4CCA6">
            <w:pPr>
              <w:jc w:val="center"/>
              <w:rPr>
                <w:rFonts w:hint="eastAsia" w:ascii="宋体" w:hAnsi="宋体" w:eastAsia="宋体" w:cs="宋体"/>
                <w:i w:val="0"/>
                <w:iCs w:val="0"/>
                <w:color w:val="auto"/>
                <w:sz w:val="22"/>
                <w:szCs w:val="22"/>
                <w:highlight w:val="none"/>
                <w:u w:val="none"/>
              </w:rPr>
            </w:pPr>
          </w:p>
        </w:tc>
      </w:tr>
      <w:tr w14:paraId="4E4E4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7FB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0"/>
                <w:szCs w:val="20"/>
                <w:highlight w:val="none"/>
                <w:u w:val="none"/>
                <w:lang w:val="en-US" w:eastAsia="zh-CN" w:bidi="ar"/>
              </w:rPr>
              <w:t>（三）</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0D5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养殖安全生产</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F9FD">
            <w:pPr>
              <w:jc w:val="center"/>
              <w:rPr>
                <w:rFonts w:hint="eastAsia" w:ascii="宋体" w:hAnsi="宋体" w:eastAsia="宋体" w:cs="宋体"/>
                <w:i w:val="0"/>
                <w:iCs w:val="0"/>
                <w:color w:val="auto"/>
                <w:sz w:val="22"/>
                <w:szCs w:val="22"/>
                <w:highlight w:val="none"/>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14EF0">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6ABCC1">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27466">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CCCE94">
            <w:pPr>
              <w:rPr>
                <w:rFonts w:hint="eastAsia" w:ascii="宋体" w:hAnsi="宋体" w:eastAsia="宋体" w:cs="宋体"/>
                <w:i w:val="0"/>
                <w:iCs w:val="0"/>
                <w:color w:val="auto"/>
                <w:sz w:val="22"/>
                <w:szCs w:val="22"/>
                <w:highlight w:val="none"/>
                <w:u w:val="none"/>
              </w:rPr>
            </w:pPr>
          </w:p>
        </w:tc>
        <w:tc>
          <w:tcPr>
            <w:tcW w:w="13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7DC25">
            <w:pPr>
              <w:rPr>
                <w:rFonts w:hint="eastAsia" w:ascii="宋体" w:hAnsi="宋体" w:eastAsia="宋体" w:cs="宋体"/>
                <w:i w:val="0"/>
                <w:iCs w:val="0"/>
                <w:color w:val="auto"/>
                <w:sz w:val="22"/>
                <w:szCs w:val="22"/>
                <w:highlight w:val="none"/>
                <w:u w:val="none"/>
              </w:rPr>
            </w:pPr>
          </w:p>
        </w:tc>
      </w:tr>
      <w:tr w14:paraId="4A99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552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238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在养殖生产中，配电设备的安装、使用必须符合国家的现行标准和规范。</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14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0E2C">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DFF205">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78A7E">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2D25D">
            <w:pPr>
              <w:rPr>
                <w:rFonts w:hint="eastAsia" w:ascii="宋体" w:hAnsi="宋体" w:eastAsia="宋体" w:cs="宋体"/>
                <w:i w:val="0"/>
                <w:iCs w:val="0"/>
                <w:color w:val="auto"/>
                <w:sz w:val="22"/>
                <w:szCs w:val="22"/>
                <w:highlight w:val="none"/>
                <w:u w:val="none"/>
              </w:rPr>
            </w:pPr>
          </w:p>
        </w:tc>
        <w:tc>
          <w:tcPr>
            <w:tcW w:w="1318" w:type="dxa"/>
            <w:gridSpan w:val="2"/>
            <w:vMerge w:val="restart"/>
            <w:tcBorders>
              <w:top w:val="nil"/>
              <w:left w:val="single" w:color="000000" w:sz="4" w:space="0"/>
              <w:bottom w:val="nil"/>
              <w:right w:val="single" w:color="000000" w:sz="4" w:space="0"/>
            </w:tcBorders>
            <w:shd w:val="clear" w:color="auto" w:fill="auto"/>
            <w:vAlign w:val="center"/>
          </w:tcPr>
          <w:p w14:paraId="21BBF5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合同期内，承租人违反累计超过三项且未及时整改的，将取消其以后在灌东盐场池塘招租时的竞租资格</w:t>
            </w:r>
          </w:p>
        </w:tc>
      </w:tr>
      <w:tr w14:paraId="2015F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F0D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07B36">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严格执行水上、机械作业操作规程，配置相应的水上救生设备和机械防护设备</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F7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33BE">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CDBA0">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7556E9">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61CF5">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340CB181">
            <w:pPr>
              <w:jc w:val="center"/>
              <w:rPr>
                <w:rFonts w:hint="eastAsia" w:ascii="宋体" w:hAnsi="宋体" w:eastAsia="宋体" w:cs="宋体"/>
                <w:i w:val="0"/>
                <w:iCs w:val="0"/>
                <w:color w:val="auto"/>
                <w:sz w:val="22"/>
                <w:szCs w:val="22"/>
                <w:highlight w:val="none"/>
                <w:u w:val="none"/>
              </w:rPr>
            </w:pPr>
          </w:p>
        </w:tc>
      </w:tr>
      <w:tr w14:paraId="6EBB3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9B4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C02B">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严格执行国家、省、市、县关于液化气使用安全的相关规定，不使用不合格“灶、管、阀、瓶”。</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DA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20D13">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6C7BA2">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A1850">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08369">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58A7F805">
            <w:pPr>
              <w:jc w:val="center"/>
              <w:rPr>
                <w:rFonts w:hint="eastAsia" w:ascii="宋体" w:hAnsi="宋体" w:eastAsia="宋体" w:cs="宋体"/>
                <w:i w:val="0"/>
                <w:iCs w:val="0"/>
                <w:color w:val="auto"/>
                <w:sz w:val="22"/>
                <w:szCs w:val="22"/>
                <w:highlight w:val="none"/>
                <w:u w:val="none"/>
              </w:rPr>
            </w:pPr>
          </w:p>
        </w:tc>
      </w:tr>
      <w:tr w14:paraId="701CD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501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185B7">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严格遵守交通法规，不使用无牌无照车辆，不酒后驾车。</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4F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2A8E">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BEE5A6">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777BE">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EB775">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4903CEAB">
            <w:pPr>
              <w:jc w:val="center"/>
              <w:rPr>
                <w:rFonts w:hint="eastAsia" w:ascii="宋体" w:hAnsi="宋体" w:eastAsia="宋体" w:cs="宋体"/>
                <w:i w:val="0"/>
                <w:iCs w:val="0"/>
                <w:color w:val="auto"/>
                <w:sz w:val="22"/>
                <w:szCs w:val="22"/>
                <w:highlight w:val="none"/>
                <w:u w:val="none"/>
              </w:rPr>
            </w:pPr>
          </w:p>
        </w:tc>
      </w:tr>
      <w:tr w14:paraId="53603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FE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5CCE">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主动接受安全环保部门工作人员的监督检查，对检查出来的安全隐患及时整改消除。</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D2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994A">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E88DB1">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7F863">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9783E">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63058C66">
            <w:pPr>
              <w:jc w:val="center"/>
              <w:rPr>
                <w:rFonts w:hint="eastAsia" w:ascii="宋体" w:hAnsi="宋体" w:eastAsia="宋体" w:cs="宋体"/>
                <w:i w:val="0"/>
                <w:iCs w:val="0"/>
                <w:color w:val="auto"/>
                <w:sz w:val="22"/>
                <w:szCs w:val="22"/>
                <w:highlight w:val="none"/>
                <w:u w:val="none"/>
              </w:rPr>
            </w:pPr>
          </w:p>
        </w:tc>
      </w:tr>
      <w:tr w14:paraId="0B57A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CA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0"/>
                <w:szCs w:val="20"/>
                <w:highlight w:val="none"/>
                <w:u w:val="none"/>
                <w:lang w:val="en-US" w:eastAsia="zh-CN" w:bidi="ar"/>
              </w:rPr>
              <w:t>（四）</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6D829">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养殖环保</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8FC71">
            <w:pPr>
              <w:jc w:val="center"/>
              <w:rPr>
                <w:rFonts w:hint="eastAsia" w:ascii="宋体" w:hAnsi="宋体" w:eastAsia="宋体" w:cs="宋体"/>
                <w:i w:val="0"/>
                <w:iCs w:val="0"/>
                <w:color w:val="auto"/>
                <w:sz w:val="22"/>
                <w:szCs w:val="22"/>
                <w:highlight w:val="none"/>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6FAF0">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ACAED">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CCBF3">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26838">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7088DC3F">
            <w:pPr>
              <w:jc w:val="center"/>
              <w:rPr>
                <w:rFonts w:hint="eastAsia" w:ascii="宋体" w:hAnsi="宋体" w:eastAsia="宋体" w:cs="宋体"/>
                <w:i w:val="0"/>
                <w:iCs w:val="0"/>
                <w:color w:val="auto"/>
                <w:sz w:val="22"/>
                <w:szCs w:val="22"/>
                <w:highlight w:val="none"/>
                <w:u w:val="none"/>
              </w:rPr>
            </w:pPr>
          </w:p>
        </w:tc>
      </w:tr>
      <w:tr w14:paraId="6F8E2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B5FA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1F48">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不将养殖尾水直排送水河、不随意抛弃生产生活垃圾。在责任范围内不偷捕偷猎，不私搭乱建、私开乱挖，不焚烧杂草和生产生活垃圾。</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5CA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w:t>
            </w:r>
            <w:r>
              <w:rPr>
                <w:rFonts w:hint="eastAsia" w:ascii="宋体" w:hAnsi="宋体" w:cs="宋体"/>
                <w:i w:val="0"/>
                <w:iCs w:val="0"/>
                <w:color w:val="auto"/>
                <w:kern w:val="0"/>
                <w:sz w:val="22"/>
                <w:szCs w:val="22"/>
                <w:highlight w:val="none"/>
                <w:u w:val="none"/>
                <w:lang w:val="en-US" w:eastAsia="zh-CN" w:bidi="ar"/>
              </w:rPr>
              <w:t>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EFE1">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CC650">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5D3E8">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21889">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4DB627E3">
            <w:pPr>
              <w:jc w:val="center"/>
              <w:rPr>
                <w:rFonts w:hint="eastAsia" w:ascii="宋体" w:hAnsi="宋体" w:eastAsia="宋体" w:cs="宋体"/>
                <w:i w:val="0"/>
                <w:iCs w:val="0"/>
                <w:color w:val="auto"/>
                <w:sz w:val="22"/>
                <w:szCs w:val="22"/>
                <w:highlight w:val="none"/>
                <w:u w:val="none"/>
              </w:rPr>
            </w:pPr>
          </w:p>
        </w:tc>
      </w:tr>
      <w:tr w14:paraId="4C4AE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CC0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7DA63">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生活生产用房须使用合格的防火建筑材料，汽油、柴油须按规定使用和存放。</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0F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w:t>
            </w:r>
            <w:r>
              <w:rPr>
                <w:rFonts w:hint="eastAsia" w:ascii="宋体" w:hAnsi="宋体" w:cs="宋体"/>
                <w:i w:val="0"/>
                <w:iCs w:val="0"/>
                <w:color w:val="auto"/>
                <w:kern w:val="0"/>
                <w:sz w:val="22"/>
                <w:szCs w:val="22"/>
                <w:highlight w:val="none"/>
                <w:u w:val="none"/>
                <w:lang w:val="en-US" w:eastAsia="zh-CN" w:bidi="ar"/>
              </w:rPr>
              <w:t>2</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07E48">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1F8A8">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E0321">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62CEB">
            <w:pPr>
              <w:rPr>
                <w:rFonts w:hint="eastAsia" w:ascii="宋体" w:hAnsi="宋体" w:eastAsia="宋体" w:cs="宋体"/>
                <w:i w:val="0"/>
                <w:iCs w:val="0"/>
                <w:color w:val="auto"/>
                <w:sz w:val="22"/>
                <w:szCs w:val="22"/>
                <w:highlight w:val="none"/>
                <w:u w:val="none"/>
              </w:rPr>
            </w:pPr>
          </w:p>
        </w:tc>
        <w:tc>
          <w:tcPr>
            <w:tcW w:w="1318" w:type="dxa"/>
            <w:gridSpan w:val="2"/>
            <w:vMerge w:val="continue"/>
            <w:tcBorders>
              <w:top w:val="nil"/>
              <w:left w:val="single" w:color="000000" w:sz="4" w:space="0"/>
              <w:bottom w:val="nil"/>
              <w:right w:val="single" w:color="000000" w:sz="4" w:space="0"/>
            </w:tcBorders>
            <w:shd w:val="clear" w:color="auto" w:fill="auto"/>
            <w:vAlign w:val="center"/>
          </w:tcPr>
          <w:p w14:paraId="1B3F4901">
            <w:pPr>
              <w:jc w:val="center"/>
              <w:rPr>
                <w:rFonts w:hint="eastAsia" w:ascii="宋体" w:hAnsi="宋体" w:eastAsia="宋体" w:cs="宋体"/>
                <w:i w:val="0"/>
                <w:iCs w:val="0"/>
                <w:color w:val="auto"/>
                <w:sz w:val="22"/>
                <w:szCs w:val="22"/>
                <w:highlight w:val="none"/>
                <w:u w:val="none"/>
              </w:rPr>
            </w:pPr>
          </w:p>
        </w:tc>
      </w:tr>
      <w:tr w14:paraId="073B7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888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5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767D">
            <w:pPr>
              <w:keepNext w:val="0"/>
              <w:keepLines w:val="0"/>
              <w:widowControl/>
              <w:suppressLineNumbers w:val="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保护区内不得修建房屋、道路、桥梁、电力设施等。</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CC8D3">
            <w:pPr>
              <w:keepNext w:val="0"/>
              <w:keepLines w:val="0"/>
              <w:widowControl/>
              <w:suppressLineNumbers w:val="0"/>
              <w:jc w:val="center"/>
              <w:textAlignment w:val="center"/>
              <w:rPr>
                <w:rFonts w:hint="default" w:ascii="宋体" w:hAnsi="宋体" w:eastAsia="宋体" w:cs="宋体"/>
                <w:i w:val="0"/>
                <w:iCs w:val="0"/>
                <w:color w:val="auto"/>
                <w:sz w:val="22"/>
                <w:szCs w:val="22"/>
                <w:highlight w:val="none"/>
                <w:u w:val="none"/>
                <w:lang w:val="en-US"/>
              </w:rPr>
            </w:pPr>
            <w:r>
              <w:rPr>
                <w:rFonts w:hint="eastAsia" w:ascii="宋体" w:hAnsi="宋体" w:cs="宋体"/>
                <w:i w:val="0"/>
                <w:iCs w:val="0"/>
                <w:color w:val="auto"/>
                <w:kern w:val="0"/>
                <w:sz w:val="22"/>
                <w:szCs w:val="22"/>
                <w:highlight w:val="none"/>
                <w:u w:val="none"/>
                <w:lang w:val="en-US" w:eastAsia="zh-CN" w:bidi="ar"/>
              </w:rPr>
              <w:t>0.6</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C5DB">
            <w:pPr>
              <w:rPr>
                <w:rFonts w:hint="eastAsia" w:ascii="宋体" w:hAnsi="宋体" w:eastAsia="宋体" w:cs="宋体"/>
                <w:i w:val="0"/>
                <w:iCs w:val="0"/>
                <w:color w:val="auto"/>
                <w:sz w:val="22"/>
                <w:szCs w:val="22"/>
                <w:highlight w:val="none"/>
                <w:u w:val="none"/>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F1A3D">
            <w:pPr>
              <w:rPr>
                <w:rFonts w:hint="eastAsia" w:ascii="宋体" w:hAnsi="宋体" w:eastAsia="宋体" w:cs="宋体"/>
                <w:i w:val="0"/>
                <w:iCs w:val="0"/>
                <w:color w:val="auto"/>
                <w:sz w:val="22"/>
                <w:szCs w:val="22"/>
                <w:highlight w:val="none"/>
                <w:u w:val="none"/>
              </w:rPr>
            </w:pPr>
          </w:p>
        </w:tc>
        <w:tc>
          <w:tcPr>
            <w:tcW w:w="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A403DC">
            <w:pPr>
              <w:rPr>
                <w:rFonts w:hint="eastAsia" w:ascii="宋体" w:hAnsi="宋体" w:eastAsia="宋体" w:cs="宋体"/>
                <w:i w:val="0"/>
                <w:iCs w:val="0"/>
                <w:color w:val="auto"/>
                <w:sz w:val="22"/>
                <w:szCs w:val="22"/>
                <w:highlight w:val="none"/>
                <w:u w:val="none"/>
              </w:rPr>
            </w:pPr>
          </w:p>
        </w:tc>
        <w:tc>
          <w:tcPr>
            <w:tcW w:w="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FC8E8">
            <w:pPr>
              <w:rPr>
                <w:rFonts w:hint="eastAsia" w:ascii="宋体" w:hAnsi="宋体" w:eastAsia="宋体" w:cs="宋体"/>
                <w:i w:val="0"/>
                <w:iCs w:val="0"/>
                <w:color w:val="auto"/>
                <w:sz w:val="22"/>
                <w:szCs w:val="22"/>
                <w:highlight w:val="none"/>
                <w:u w:val="none"/>
              </w:rPr>
            </w:pPr>
          </w:p>
        </w:tc>
        <w:tc>
          <w:tcPr>
            <w:tcW w:w="13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CA00D1">
            <w:pPr>
              <w:rPr>
                <w:rFonts w:hint="eastAsia" w:ascii="宋体" w:hAnsi="宋体" w:eastAsia="宋体" w:cs="宋体"/>
                <w:i w:val="0"/>
                <w:iCs w:val="0"/>
                <w:color w:val="auto"/>
                <w:sz w:val="22"/>
                <w:szCs w:val="22"/>
                <w:highlight w:val="none"/>
                <w:u w:val="none"/>
              </w:rPr>
            </w:pPr>
          </w:p>
        </w:tc>
      </w:tr>
      <w:tr w14:paraId="61AFA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896" w:type="dxa"/>
            <w:gridSpan w:val="12"/>
            <w:tcBorders>
              <w:top w:val="nil"/>
              <w:left w:val="nil"/>
              <w:bottom w:val="nil"/>
              <w:right w:val="nil"/>
            </w:tcBorders>
            <w:shd w:val="clear" w:color="auto" w:fill="auto"/>
            <w:vAlign w:val="center"/>
          </w:tcPr>
          <w:p w14:paraId="7E9A376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注：1、上述承租人是指租赁该池塘的合同主体单位或个人，包括该合同下所有池塘。</w:t>
            </w:r>
          </w:p>
        </w:tc>
      </w:tr>
      <w:tr w14:paraId="2196B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896" w:type="dxa"/>
            <w:gridSpan w:val="12"/>
            <w:tcBorders>
              <w:top w:val="nil"/>
              <w:left w:val="nil"/>
              <w:bottom w:val="nil"/>
              <w:right w:val="nil"/>
            </w:tcBorders>
            <w:shd w:val="clear" w:color="auto" w:fill="auto"/>
            <w:vAlign w:val="center"/>
          </w:tcPr>
          <w:p w14:paraId="3F73355F">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注：2、上述扣分作为该承租人下一轮竞租信誉分评审的参考依据。</w:t>
            </w:r>
          </w:p>
        </w:tc>
      </w:tr>
      <w:tr w14:paraId="717AB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896" w:type="dxa"/>
            <w:gridSpan w:val="12"/>
            <w:tcBorders>
              <w:top w:val="nil"/>
              <w:left w:val="nil"/>
              <w:bottom w:val="nil"/>
              <w:right w:val="nil"/>
            </w:tcBorders>
            <w:shd w:val="clear" w:color="auto" w:fill="auto"/>
            <w:vAlign w:val="center"/>
          </w:tcPr>
          <w:p w14:paraId="074F6DB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注：3、养殖区年底出具本区域承租人的记录表，并告知承租人，交灌东盐场水产养殖公司存档。承租人参与下一轮竞租时，须提供由养殖公司签字的上述表格。</w:t>
            </w:r>
          </w:p>
        </w:tc>
      </w:tr>
    </w:tbl>
    <w:p w14:paraId="1D12E23C">
      <w:pPr>
        <w:spacing w:line="360" w:lineRule="exact"/>
        <w:rPr>
          <w:rFonts w:hint="eastAsia" w:ascii="仿宋" w:hAnsi="仿宋" w:eastAsia="仿宋"/>
          <w:color w:val="auto"/>
          <w:sz w:val="28"/>
          <w:szCs w:val="28"/>
          <w:highlight w:val="none"/>
        </w:rPr>
      </w:pPr>
    </w:p>
    <w:sectPr>
      <w:pgSz w:w="11906" w:h="16838"/>
      <w:pgMar w:top="1440" w:right="1276"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新宋体">
    <w:panose1 w:val="02010609030101010101"/>
    <w:charset w:val="86"/>
    <w:family w:val="auto"/>
    <w:pitch w:val="default"/>
    <w:sig w:usb0="00000203" w:usb1="288F0000" w:usb2="0000000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0BE58">
    <w:pPr>
      <w:pStyle w:val="5"/>
    </w:pPr>
    <w:r>
      <w:pict>
        <v:group id="_x0000_s4102" o:spid="_x0000_s4102" o:spt="203" style="position:absolute;left:0pt;margin-left:0.4pt;margin-top:770.3pt;height:53pt;width:532.9pt;mso-position-horizontal-relative:page;mso-position-vertical-relative:page;z-index:251662336;mso-width-relative:page;mso-height-relative:page;" coordorigin="15,14415" coordsize="10658,1060">
          <o:lock v:ext="edit"/>
          <v:shape id="_x0000_s4103" o:spid="_x0000_s4103" o:spt="32" type="#_x0000_t32" style="position:absolute;left:15;top:14415;height:1057;width:10171;" o:connectortype="straight" filled="f" stroked="t" coordsize="21600,21600">
            <v:path arrowok="t"/>
            <v:fill on="f" focussize="0,0"/>
            <v:stroke color="#A7BFDE"/>
            <v:imagedata o:title=""/>
            <o:lock v:ext="edit"/>
          </v:shape>
          <v:shape id="_x0000_s4104" o:spid="_x0000_s4104" o:spt="3" type="#_x0000_t3" style="position:absolute;left:9657;top:14459;height:1016;width:1016;" fillcolor="#A7BFDE" filled="t" stroked="f" coordsize="21600,21600">
            <v:path/>
            <v:fill on="t" focussize="0,0"/>
            <v:stroke on="f"/>
            <v:imagedata o:title=""/>
            <o:lock v:ext="edit"/>
          </v:shape>
          <v:shape id="_x0000_s4105" o:spid="_x0000_s4105" o:spt="3" type="#_x0000_t3" style="position:absolute;left:9733;top:14568;height:904;width:908;" fillcolor="#D3DFEE" filled="t" stroked="f" coordsize="21600,21600">
            <v:path/>
            <v:fill on="t" focussize="0,0"/>
            <v:stroke on="f"/>
            <v:imagedata o:title=""/>
            <o:lock v:ext="edit"/>
          </v:shape>
          <v:shape id="_x0000_s4106" o:spid="_x0000_s4106" o:spt="3" type="#_x0000_t3" style="position:absolute;left:9802;top:14688;height:784;width:783;v-text-anchor:middle;" fillcolor="#7BA0CD" filled="t" stroked="f" coordsize="21600,21600">
            <v:path/>
            <v:fill on="t" focussize="0,0"/>
            <v:stroke on="f"/>
            <v:imagedata o:title=""/>
            <o:lock v:ext="edit"/>
            <v:textbox>
              <w:txbxContent>
                <w:p w14:paraId="7BFA999A">
                  <w:pPr>
                    <w:pStyle w:val="6"/>
                    <w:rPr>
                      <w:rFonts w:ascii="宋体" w:hAnsi="宋体"/>
                      <w:color w:val="FFFFFF"/>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color w:val="FFFFFF"/>
                      <w:sz w:val="28"/>
                      <w:szCs w:val="28"/>
                      <w:lang w:val="zh-CN"/>
                    </w:rPr>
                    <w:t>33</w:t>
                  </w:r>
                  <w:r>
                    <w:rPr>
                      <w:rFonts w:ascii="宋体" w:hAnsi="宋体"/>
                      <w:sz w:val="28"/>
                      <w:szCs w:val="28"/>
                    </w:rPr>
                    <w:fldChar w:fldCharType="end"/>
                  </w:r>
                </w:p>
              </w:txbxContent>
            </v:textbox>
          </v:shape>
        </v:group>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077F0">
    <w:pPr>
      <w:pStyle w:val="6"/>
      <w:jc w:val="right"/>
    </w:pPr>
    <w:r>
      <w:drawing>
        <wp:inline distT="0" distB="0" distL="0" distR="0">
          <wp:extent cx="1892300" cy="2476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srcRect/>
                  <a:stretch>
                    <a:fillRect/>
                  </a:stretch>
                </pic:blipFill>
                <pic:spPr>
                  <a:xfrm>
                    <a:off x="0" y="0"/>
                    <a:ext cx="1892300" cy="247650"/>
                  </a:xfrm>
                  <a:prstGeom prst="rect">
                    <a:avLst/>
                  </a:prstGeom>
                  <a:noFill/>
                  <a:ln w="9525" cmpd="sng">
                    <a:noFill/>
                    <a:miter lim="800000"/>
                    <a:headEnd/>
                    <a:tailEnd/>
                  </a:ln>
                </pic:spPr>
              </pic:pic>
            </a:graphicData>
          </a:graphic>
        </wp:inline>
      </w:drawing>
    </w:r>
    <w:r>
      <w:rPr>
        <w:rFonts w:ascii="Cambria" w:hAnsi="Cambria"/>
      </w:rPr>
      <w:pict>
        <v:group id="组合 3" o:spid="_x0000_s4097" o:spt="203" style="position:absolute;left:0pt;height:64.8pt;width:594.6pt;mso-position-horizontal:center;mso-position-horizontal-relative:page;mso-position-vertical:top;mso-position-vertical-relative:page;z-index:251661312;mso-width-relative:page;mso-height-relative:top-margin-area;mso-width-percent:1000;mso-height-percent:900;" coordorigin="8,9" coordsize="15823,1439">
          <o:lock v:ext="edit"/>
          <v:shape id="自选图形 4" o:spid="_x0000_s4098" o:spt="32" type="#_x0000_t32" style="position:absolute;left:9;top:1431;height:0;width:15822;" o:connectortype="straight" filled="f" stroked="t" coordsize="21600,21600">
            <v:path arrowok="t"/>
            <v:fill on="f" focussize="0,0"/>
            <v:stroke color="#31849B"/>
            <v:imagedata o:title=""/>
            <o:lock v:ext="edit"/>
          </v:shape>
          <v:rect id="矩形 5" o:spid="_x0000_s4099" o:spt="1" style="position:absolute;left:8;top:9;height:1439;width:4031;" filled="f" stroked="f" coordsize="21600,21600">
            <v:path/>
            <v:fill on="f" focussize="0,0"/>
            <v:stroke on="f"/>
            <v:imagedata o:title=""/>
            <o:lock v:ext="edit"/>
          </v:rect>
        </v:group>
      </w:pict>
    </w:r>
    <w:r>
      <w:rPr>
        <w:rFonts w:ascii="Cambria" w:hAnsi="Cambria"/>
      </w:rPr>
      <w:pict>
        <v:rect id="矩形 2" o:spid="_x0000_s4100" o:spt="1" style="position:absolute;left:0pt;margin-left:559.9pt;margin-top:0.35pt;height:64.05pt;width:7.15pt;mso-position-horizontal-relative:page;mso-position-vertical-relative:page;z-index:251660288;mso-width-relative:page;mso-height-relative:top-margin-area;mso-height-percent:900;" fillcolor="#4BACC6" filled="t" stroked="t" coordsize="21600,21600">
          <v:path/>
          <v:fill on="t" focussize="0,0"/>
          <v:stroke color="#205867"/>
          <v:imagedata o:title=""/>
          <o:lock v:ext="edit"/>
        </v:rect>
      </w:pict>
    </w:r>
    <w:r>
      <w:rPr>
        <w:rFonts w:ascii="Cambria" w:hAnsi="Cambria"/>
      </w:rPr>
      <w:pict>
        <v:rect id="矩形 1" o:spid="_x0000_s4101" o:spt="1" style="position:absolute;left:0pt;margin-left:41.45pt;margin-top:0.35pt;height:64.05pt;width:7.15pt;mso-position-horizontal-relative:page;mso-position-vertical-relative:page;z-index:251659264;mso-width-relative:page;mso-height-relative:top-margin-area;mso-height-percent:900;" fillcolor="#4BACC6" filled="t" stroked="t" coordsize="21600,21600">
          <v:path/>
          <v:fill on="t" focussize="0,0"/>
          <v:stroke color="#205867"/>
          <v:imagedata o:title=""/>
          <o:lock v:ext="edit"/>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3FB12"/>
    <w:multiLevelType w:val="singleLevel"/>
    <w:tmpl w:val="5813FB1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rules v:ext="edit">
        <o:r id="V:Rule1" type="connector" idref="#自选图形 4"/>
        <o:r id="V:Rule2" type="connector" idref="#_x0000_s4103"/>
      </o:rules>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c4ZmM4YWEzNjlhMGYyNTI5NmQ1NzBlODQzMDYzMTcifQ=="/>
  </w:docVars>
  <w:rsids>
    <w:rsidRoot w:val="00172A27"/>
    <w:rsid w:val="00000728"/>
    <w:rsid w:val="00013343"/>
    <w:rsid w:val="00017333"/>
    <w:rsid w:val="00024413"/>
    <w:rsid w:val="00025AE5"/>
    <w:rsid w:val="00031E48"/>
    <w:rsid w:val="00053C82"/>
    <w:rsid w:val="000604FC"/>
    <w:rsid w:val="000634C3"/>
    <w:rsid w:val="0007448E"/>
    <w:rsid w:val="000766D3"/>
    <w:rsid w:val="000878A9"/>
    <w:rsid w:val="00094940"/>
    <w:rsid w:val="000A7A98"/>
    <w:rsid w:val="000B0A92"/>
    <w:rsid w:val="000B4351"/>
    <w:rsid w:val="000B5E9D"/>
    <w:rsid w:val="000C1B01"/>
    <w:rsid w:val="000C3BB7"/>
    <w:rsid w:val="000C763F"/>
    <w:rsid w:val="000D0621"/>
    <w:rsid w:val="000D4F8E"/>
    <w:rsid w:val="000D62BC"/>
    <w:rsid w:val="000E220F"/>
    <w:rsid w:val="000F1774"/>
    <w:rsid w:val="00103F19"/>
    <w:rsid w:val="00105BB8"/>
    <w:rsid w:val="00110D7F"/>
    <w:rsid w:val="0011499E"/>
    <w:rsid w:val="001226D2"/>
    <w:rsid w:val="0012460B"/>
    <w:rsid w:val="00136751"/>
    <w:rsid w:val="00141C45"/>
    <w:rsid w:val="0015251B"/>
    <w:rsid w:val="00152B7A"/>
    <w:rsid w:val="00156626"/>
    <w:rsid w:val="00161ED6"/>
    <w:rsid w:val="00170BCC"/>
    <w:rsid w:val="00172F99"/>
    <w:rsid w:val="00176B2C"/>
    <w:rsid w:val="001807C0"/>
    <w:rsid w:val="00183CE6"/>
    <w:rsid w:val="00191C48"/>
    <w:rsid w:val="001B0F64"/>
    <w:rsid w:val="001D04B3"/>
    <w:rsid w:val="001E25A6"/>
    <w:rsid w:val="001E3CC3"/>
    <w:rsid w:val="001F33D4"/>
    <w:rsid w:val="001F77EE"/>
    <w:rsid w:val="00201E16"/>
    <w:rsid w:val="00233434"/>
    <w:rsid w:val="0023537B"/>
    <w:rsid w:val="00235DC6"/>
    <w:rsid w:val="00240622"/>
    <w:rsid w:val="00247EBB"/>
    <w:rsid w:val="00257CCF"/>
    <w:rsid w:val="00260F77"/>
    <w:rsid w:val="002709BD"/>
    <w:rsid w:val="0028730A"/>
    <w:rsid w:val="00294D05"/>
    <w:rsid w:val="002953A2"/>
    <w:rsid w:val="00297285"/>
    <w:rsid w:val="002A0AEF"/>
    <w:rsid w:val="002A0F2F"/>
    <w:rsid w:val="002C01F2"/>
    <w:rsid w:val="002C24E1"/>
    <w:rsid w:val="002D1C3F"/>
    <w:rsid w:val="002D36F3"/>
    <w:rsid w:val="002D3FE1"/>
    <w:rsid w:val="002D4304"/>
    <w:rsid w:val="002D4931"/>
    <w:rsid w:val="002F1EBE"/>
    <w:rsid w:val="00305473"/>
    <w:rsid w:val="00306A9C"/>
    <w:rsid w:val="00312154"/>
    <w:rsid w:val="00313684"/>
    <w:rsid w:val="00336B3F"/>
    <w:rsid w:val="00337FBB"/>
    <w:rsid w:val="00353708"/>
    <w:rsid w:val="00356D09"/>
    <w:rsid w:val="00357D88"/>
    <w:rsid w:val="00357F6B"/>
    <w:rsid w:val="0036202E"/>
    <w:rsid w:val="0037194B"/>
    <w:rsid w:val="00382101"/>
    <w:rsid w:val="003A12D5"/>
    <w:rsid w:val="003A16B4"/>
    <w:rsid w:val="003A2988"/>
    <w:rsid w:val="003A5902"/>
    <w:rsid w:val="003B32A9"/>
    <w:rsid w:val="003B39D2"/>
    <w:rsid w:val="003C29F8"/>
    <w:rsid w:val="003C53D9"/>
    <w:rsid w:val="003D2228"/>
    <w:rsid w:val="003E0E2A"/>
    <w:rsid w:val="003E1110"/>
    <w:rsid w:val="003F3EDD"/>
    <w:rsid w:val="003F4472"/>
    <w:rsid w:val="004006EF"/>
    <w:rsid w:val="00400BF3"/>
    <w:rsid w:val="00402C6A"/>
    <w:rsid w:val="00403E2B"/>
    <w:rsid w:val="0041018A"/>
    <w:rsid w:val="004237B7"/>
    <w:rsid w:val="00426ED6"/>
    <w:rsid w:val="004277DE"/>
    <w:rsid w:val="00431902"/>
    <w:rsid w:val="004366FE"/>
    <w:rsid w:val="00437EE7"/>
    <w:rsid w:val="00461B84"/>
    <w:rsid w:val="00470187"/>
    <w:rsid w:val="004755A7"/>
    <w:rsid w:val="00476EC7"/>
    <w:rsid w:val="00476F46"/>
    <w:rsid w:val="0048269F"/>
    <w:rsid w:val="004C5933"/>
    <w:rsid w:val="004C76D1"/>
    <w:rsid w:val="004D02AC"/>
    <w:rsid w:val="004D5B10"/>
    <w:rsid w:val="004E63A8"/>
    <w:rsid w:val="004E648F"/>
    <w:rsid w:val="004F2A2A"/>
    <w:rsid w:val="004F2AB2"/>
    <w:rsid w:val="004F6A99"/>
    <w:rsid w:val="004F740A"/>
    <w:rsid w:val="00500CBD"/>
    <w:rsid w:val="005138A0"/>
    <w:rsid w:val="0051611E"/>
    <w:rsid w:val="0051689E"/>
    <w:rsid w:val="005225F3"/>
    <w:rsid w:val="00527B1F"/>
    <w:rsid w:val="005319DE"/>
    <w:rsid w:val="0055289C"/>
    <w:rsid w:val="005579C5"/>
    <w:rsid w:val="00564571"/>
    <w:rsid w:val="00566328"/>
    <w:rsid w:val="00574E13"/>
    <w:rsid w:val="00580CCD"/>
    <w:rsid w:val="00585349"/>
    <w:rsid w:val="00586C8A"/>
    <w:rsid w:val="0059121C"/>
    <w:rsid w:val="00591EA1"/>
    <w:rsid w:val="005A1AFA"/>
    <w:rsid w:val="005C7B1A"/>
    <w:rsid w:val="005D57C6"/>
    <w:rsid w:val="005E1FE3"/>
    <w:rsid w:val="005E525D"/>
    <w:rsid w:val="005E5C67"/>
    <w:rsid w:val="005F3765"/>
    <w:rsid w:val="005F5FBF"/>
    <w:rsid w:val="006024FD"/>
    <w:rsid w:val="00617A81"/>
    <w:rsid w:val="00626D6F"/>
    <w:rsid w:val="00630BD8"/>
    <w:rsid w:val="00636EBD"/>
    <w:rsid w:val="0063775E"/>
    <w:rsid w:val="00644280"/>
    <w:rsid w:val="0064439E"/>
    <w:rsid w:val="006513D1"/>
    <w:rsid w:val="0065256B"/>
    <w:rsid w:val="00656CB3"/>
    <w:rsid w:val="0066069E"/>
    <w:rsid w:val="00660A48"/>
    <w:rsid w:val="00660DCC"/>
    <w:rsid w:val="00667B4B"/>
    <w:rsid w:val="00681AE6"/>
    <w:rsid w:val="00686023"/>
    <w:rsid w:val="00686B26"/>
    <w:rsid w:val="006874F4"/>
    <w:rsid w:val="0069186F"/>
    <w:rsid w:val="0069733C"/>
    <w:rsid w:val="006A32EF"/>
    <w:rsid w:val="006A583D"/>
    <w:rsid w:val="006B4DC6"/>
    <w:rsid w:val="006B505C"/>
    <w:rsid w:val="006B537B"/>
    <w:rsid w:val="006F048A"/>
    <w:rsid w:val="006F25F9"/>
    <w:rsid w:val="006F5DE5"/>
    <w:rsid w:val="007009C8"/>
    <w:rsid w:val="00715C24"/>
    <w:rsid w:val="00717F0D"/>
    <w:rsid w:val="0072106E"/>
    <w:rsid w:val="0072113C"/>
    <w:rsid w:val="00731569"/>
    <w:rsid w:val="00745582"/>
    <w:rsid w:val="00751A3B"/>
    <w:rsid w:val="00751A51"/>
    <w:rsid w:val="00763A58"/>
    <w:rsid w:val="00772FC9"/>
    <w:rsid w:val="007817B2"/>
    <w:rsid w:val="00790422"/>
    <w:rsid w:val="0079441C"/>
    <w:rsid w:val="007A2FE8"/>
    <w:rsid w:val="007A30A4"/>
    <w:rsid w:val="007B203E"/>
    <w:rsid w:val="007B398B"/>
    <w:rsid w:val="007C6DF1"/>
    <w:rsid w:val="007D1EAE"/>
    <w:rsid w:val="007D44A3"/>
    <w:rsid w:val="007F0838"/>
    <w:rsid w:val="007F48C9"/>
    <w:rsid w:val="007F4A7C"/>
    <w:rsid w:val="007F4CD5"/>
    <w:rsid w:val="008005DE"/>
    <w:rsid w:val="008010E6"/>
    <w:rsid w:val="00802CD9"/>
    <w:rsid w:val="008060D6"/>
    <w:rsid w:val="00810F26"/>
    <w:rsid w:val="00825433"/>
    <w:rsid w:val="00826366"/>
    <w:rsid w:val="00827A8E"/>
    <w:rsid w:val="0083070E"/>
    <w:rsid w:val="008502C3"/>
    <w:rsid w:val="00852528"/>
    <w:rsid w:val="00861104"/>
    <w:rsid w:val="00867B8A"/>
    <w:rsid w:val="00872636"/>
    <w:rsid w:val="00884055"/>
    <w:rsid w:val="0088405A"/>
    <w:rsid w:val="008873F3"/>
    <w:rsid w:val="00887584"/>
    <w:rsid w:val="00893B69"/>
    <w:rsid w:val="0089520D"/>
    <w:rsid w:val="008B2926"/>
    <w:rsid w:val="008B7BED"/>
    <w:rsid w:val="008D3D0F"/>
    <w:rsid w:val="008D4AE4"/>
    <w:rsid w:val="008E0475"/>
    <w:rsid w:val="008E5CDE"/>
    <w:rsid w:val="008E6196"/>
    <w:rsid w:val="008F52E9"/>
    <w:rsid w:val="009044FA"/>
    <w:rsid w:val="009169F9"/>
    <w:rsid w:val="00916F0B"/>
    <w:rsid w:val="009175E8"/>
    <w:rsid w:val="009328D3"/>
    <w:rsid w:val="0094063C"/>
    <w:rsid w:val="00945B54"/>
    <w:rsid w:val="0096576D"/>
    <w:rsid w:val="00975F5C"/>
    <w:rsid w:val="00976425"/>
    <w:rsid w:val="00982682"/>
    <w:rsid w:val="0098750E"/>
    <w:rsid w:val="009A2439"/>
    <w:rsid w:val="009A4D8B"/>
    <w:rsid w:val="009A510B"/>
    <w:rsid w:val="009A5CE6"/>
    <w:rsid w:val="009A6D0C"/>
    <w:rsid w:val="009C6AA6"/>
    <w:rsid w:val="009E2197"/>
    <w:rsid w:val="009F6B0C"/>
    <w:rsid w:val="00A00A95"/>
    <w:rsid w:val="00A20233"/>
    <w:rsid w:val="00A209CC"/>
    <w:rsid w:val="00A21FB8"/>
    <w:rsid w:val="00A335EA"/>
    <w:rsid w:val="00A34846"/>
    <w:rsid w:val="00A420B3"/>
    <w:rsid w:val="00A43701"/>
    <w:rsid w:val="00A45746"/>
    <w:rsid w:val="00A51740"/>
    <w:rsid w:val="00A532FA"/>
    <w:rsid w:val="00A56AAE"/>
    <w:rsid w:val="00A607B9"/>
    <w:rsid w:val="00A624EF"/>
    <w:rsid w:val="00A62D89"/>
    <w:rsid w:val="00A81F97"/>
    <w:rsid w:val="00A83B1B"/>
    <w:rsid w:val="00A87BF7"/>
    <w:rsid w:val="00A91082"/>
    <w:rsid w:val="00A93D89"/>
    <w:rsid w:val="00A963A9"/>
    <w:rsid w:val="00AA3525"/>
    <w:rsid w:val="00AB19FB"/>
    <w:rsid w:val="00AE6E69"/>
    <w:rsid w:val="00AF14F1"/>
    <w:rsid w:val="00AF22D6"/>
    <w:rsid w:val="00AF3318"/>
    <w:rsid w:val="00AF4A61"/>
    <w:rsid w:val="00B040E8"/>
    <w:rsid w:val="00B0471E"/>
    <w:rsid w:val="00B0731F"/>
    <w:rsid w:val="00B13E2A"/>
    <w:rsid w:val="00B165F2"/>
    <w:rsid w:val="00B26B8A"/>
    <w:rsid w:val="00B34436"/>
    <w:rsid w:val="00B35FFD"/>
    <w:rsid w:val="00B46B06"/>
    <w:rsid w:val="00B61DAD"/>
    <w:rsid w:val="00B63DE3"/>
    <w:rsid w:val="00B70E98"/>
    <w:rsid w:val="00B82CC7"/>
    <w:rsid w:val="00B8779D"/>
    <w:rsid w:val="00B927F8"/>
    <w:rsid w:val="00B975CA"/>
    <w:rsid w:val="00B97CF4"/>
    <w:rsid w:val="00BA1B41"/>
    <w:rsid w:val="00BA7008"/>
    <w:rsid w:val="00BA799E"/>
    <w:rsid w:val="00BC1DCF"/>
    <w:rsid w:val="00BC65DD"/>
    <w:rsid w:val="00C15700"/>
    <w:rsid w:val="00C23691"/>
    <w:rsid w:val="00CA29C5"/>
    <w:rsid w:val="00CA2B1E"/>
    <w:rsid w:val="00CB421C"/>
    <w:rsid w:val="00CC3E61"/>
    <w:rsid w:val="00CC597C"/>
    <w:rsid w:val="00CC73A9"/>
    <w:rsid w:val="00CD51B5"/>
    <w:rsid w:val="00CE2A7F"/>
    <w:rsid w:val="00CE6067"/>
    <w:rsid w:val="00CF3559"/>
    <w:rsid w:val="00CF4EE3"/>
    <w:rsid w:val="00CF53FD"/>
    <w:rsid w:val="00D02A3B"/>
    <w:rsid w:val="00D052B9"/>
    <w:rsid w:val="00D10165"/>
    <w:rsid w:val="00D11283"/>
    <w:rsid w:val="00D21667"/>
    <w:rsid w:val="00D2269C"/>
    <w:rsid w:val="00D23BEF"/>
    <w:rsid w:val="00D752B4"/>
    <w:rsid w:val="00D75DE8"/>
    <w:rsid w:val="00D92EC7"/>
    <w:rsid w:val="00DC3DB8"/>
    <w:rsid w:val="00DD383E"/>
    <w:rsid w:val="00DE03D9"/>
    <w:rsid w:val="00DE2C5C"/>
    <w:rsid w:val="00DE4D80"/>
    <w:rsid w:val="00DF1DCD"/>
    <w:rsid w:val="00DF585F"/>
    <w:rsid w:val="00E03AB3"/>
    <w:rsid w:val="00E129B8"/>
    <w:rsid w:val="00E17D6A"/>
    <w:rsid w:val="00E26BC1"/>
    <w:rsid w:val="00E336C8"/>
    <w:rsid w:val="00E36571"/>
    <w:rsid w:val="00E56C1A"/>
    <w:rsid w:val="00E56E28"/>
    <w:rsid w:val="00E64107"/>
    <w:rsid w:val="00E65431"/>
    <w:rsid w:val="00E74995"/>
    <w:rsid w:val="00E758E9"/>
    <w:rsid w:val="00E819B8"/>
    <w:rsid w:val="00E83417"/>
    <w:rsid w:val="00E85C2E"/>
    <w:rsid w:val="00E86E9E"/>
    <w:rsid w:val="00E9095A"/>
    <w:rsid w:val="00E914D0"/>
    <w:rsid w:val="00EB3823"/>
    <w:rsid w:val="00EB51B2"/>
    <w:rsid w:val="00EC0050"/>
    <w:rsid w:val="00EC0563"/>
    <w:rsid w:val="00EC2073"/>
    <w:rsid w:val="00EC31BA"/>
    <w:rsid w:val="00EC3DA8"/>
    <w:rsid w:val="00ED77E1"/>
    <w:rsid w:val="00EE1B33"/>
    <w:rsid w:val="00EE22C9"/>
    <w:rsid w:val="00EE574D"/>
    <w:rsid w:val="00F059D2"/>
    <w:rsid w:val="00F06EA4"/>
    <w:rsid w:val="00F12ABF"/>
    <w:rsid w:val="00F164A7"/>
    <w:rsid w:val="00F253E6"/>
    <w:rsid w:val="00F52EEB"/>
    <w:rsid w:val="00F53133"/>
    <w:rsid w:val="00F61863"/>
    <w:rsid w:val="00F646F6"/>
    <w:rsid w:val="00F65126"/>
    <w:rsid w:val="00F80629"/>
    <w:rsid w:val="00F91E23"/>
    <w:rsid w:val="00FA281C"/>
    <w:rsid w:val="00FA78C5"/>
    <w:rsid w:val="00FB764B"/>
    <w:rsid w:val="00FC32B0"/>
    <w:rsid w:val="00FC7A81"/>
    <w:rsid w:val="00FD04C0"/>
    <w:rsid w:val="00FE35C0"/>
    <w:rsid w:val="00FE70DA"/>
    <w:rsid w:val="0137135C"/>
    <w:rsid w:val="01CF4BC0"/>
    <w:rsid w:val="01F7760C"/>
    <w:rsid w:val="02FE4F68"/>
    <w:rsid w:val="0347143C"/>
    <w:rsid w:val="03932CB0"/>
    <w:rsid w:val="04041A60"/>
    <w:rsid w:val="04681363"/>
    <w:rsid w:val="04EB42F8"/>
    <w:rsid w:val="052C507E"/>
    <w:rsid w:val="06750BD0"/>
    <w:rsid w:val="073A5E06"/>
    <w:rsid w:val="084B2159"/>
    <w:rsid w:val="08F37CAD"/>
    <w:rsid w:val="098B0432"/>
    <w:rsid w:val="0A2B57F0"/>
    <w:rsid w:val="0AC32BD5"/>
    <w:rsid w:val="0AE81D1A"/>
    <w:rsid w:val="0AF7448B"/>
    <w:rsid w:val="0B477500"/>
    <w:rsid w:val="0B8A269E"/>
    <w:rsid w:val="0C093EF8"/>
    <w:rsid w:val="0C3865FC"/>
    <w:rsid w:val="0D637D73"/>
    <w:rsid w:val="0D6A14D0"/>
    <w:rsid w:val="0D7A56F3"/>
    <w:rsid w:val="0D9E3DB8"/>
    <w:rsid w:val="0DAC0253"/>
    <w:rsid w:val="0DAE63E8"/>
    <w:rsid w:val="0DFC545B"/>
    <w:rsid w:val="0E222F83"/>
    <w:rsid w:val="0F005546"/>
    <w:rsid w:val="0FE05822"/>
    <w:rsid w:val="102F79BA"/>
    <w:rsid w:val="10437371"/>
    <w:rsid w:val="10D86645"/>
    <w:rsid w:val="10F1147B"/>
    <w:rsid w:val="119E5DD8"/>
    <w:rsid w:val="12A165D1"/>
    <w:rsid w:val="12D718D8"/>
    <w:rsid w:val="13B011C1"/>
    <w:rsid w:val="13B14B4B"/>
    <w:rsid w:val="146B0BCB"/>
    <w:rsid w:val="15273154"/>
    <w:rsid w:val="167069E6"/>
    <w:rsid w:val="17CC2342"/>
    <w:rsid w:val="18A52295"/>
    <w:rsid w:val="18DC2E7A"/>
    <w:rsid w:val="18F0705C"/>
    <w:rsid w:val="19EC0521"/>
    <w:rsid w:val="1B9118D8"/>
    <w:rsid w:val="1BCB46BE"/>
    <w:rsid w:val="1BDC260B"/>
    <w:rsid w:val="1BEF1EF6"/>
    <w:rsid w:val="1D9F5E03"/>
    <w:rsid w:val="1E0A5972"/>
    <w:rsid w:val="1E51209A"/>
    <w:rsid w:val="1E937B9A"/>
    <w:rsid w:val="1EB458DE"/>
    <w:rsid w:val="1FC548DC"/>
    <w:rsid w:val="1FD2426D"/>
    <w:rsid w:val="1FDD176B"/>
    <w:rsid w:val="205D447F"/>
    <w:rsid w:val="2152713F"/>
    <w:rsid w:val="21A45891"/>
    <w:rsid w:val="21F4671D"/>
    <w:rsid w:val="22721D38"/>
    <w:rsid w:val="236A2CAD"/>
    <w:rsid w:val="23A81EB5"/>
    <w:rsid w:val="242C148F"/>
    <w:rsid w:val="24980736"/>
    <w:rsid w:val="24FD25E9"/>
    <w:rsid w:val="25274C9F"/>
    <w:rsid w:val="25CD67C4"/>
    <w:rsid w:val="261A696E"/>
    <w:rsid w:val="26472962"/>
    <w:rsid w:val="268E3B68"/>
    <w:rsid w:val="27EF5E9D"/>
    <w:rsid w:val="28862099"/>
    <w:rsid w:val="292962E2"/>
    <w:rsid w:val="29C00253"/>
    <w:rsid w:val="2A3D6072"/>
    <w:rsid w:val="2A4A0983"/>
    <w:rsid w:val="2AF30399"/>
    <w:rsid w:val="2B175A48"/>
    <w:rsid w:val="2BBD119C"/>
    <w:rsid w:val="2BC06540"/>
    <w:rsid w:val="2C416A03"/>
    <w:rsid w:val="2C701096"/>
    <w:rsid w:val="2ED96067"/>
    <w:rsid w:val="2F0B69FD"/>
    <w:rsid w:val="2FB35BBE"/>
    <w:rsid w:val="30510A10"/>
    <w:rsid w:val="33202BAF"/>
    <w:rsid w:val="33ED5EEE"/>
    <w:rsid w:val="340546BA"/>
    <w:rsid w:val="346A6D13"/>
    <w:rsid w:val="35C44201"/>
    <w:rsid w:val="35D233BB"/>
    <w:rsid w:val="35D50D53"/>
    <w:rsid w:val="3601240B"/>
    <w:rsid w:val="362F5B1E"/>
    <w:rsid w:val="37245AAA"/>
    <w:rsid w:val="390F1C37"/>
    <w:rsid w:val="392C4597"/>
    <w:rsid w:val="394D6D78"/>
    <w:rsid w:val="39EC12E5"/>
    <w:rsid w:val="3AED7D56"/>
    <w:rsid w:val="3B1C1D6D"/>
    <w:rsid w:val="3BA50630"/>
    <w:rsid w:val="3C153A08"/>
    <w:rsid w:val="3D0901B6"/>
    <w:rsid w:val="3E5A451A"/>
    <w:rsid w:val="3E864749"/>
    <w:rsid w:val="3EAC15CA"/>
    <w:rsid w:val="3EE813DE"/>
    <w:rsid w:val="3EF41F07"/>
    <w:rsid w:val="3EF82BA2"/>
    <w:rsid w:val="3F660B10"/>
    <w:rsid w:val="41F540C0"/>
    <w:rsid w:val="43B655CE"/>
    <w:rsid w:val="43CA332A"/>
    <w:rsid w:val="44C73147"/>
    <w:rsid w:val="453D55D8"/>
    <w:rsid w:val="462F56C6"/>
    <w:rsid w:val="471B65D0"/>
    <w:rsid w:val="473A2ED7"/>
    <w:rsid w:val="47783DA2"/>
    <w:rsid w:val="47AB10BC"/>
    <w:rsid w:val="49311755"/>
    <w:rsid w:val="493A702D"/>
    <w:rsid w:val="497F5A4D"/>
    <w:rsid w:val="4AD90A58"/>
    <w:rsid w:val="4B180E1F"/>
    <w:rsid w:val="4B964306"/>
    <w:rsid w:val="4BF60027"/>
    <w:rsid w:val="4BF64B53"/>
    <w:rsid w:val="4CF90B72"/>
    <w:rsid w:val="4F2E6CF0"/>
    <w:rsid w:val="4FBE01E7"/>
    <w:rsid w:val="50633D44"/>
    <w:rsid w:val="506B65CE"/>
    <w:rsid w:val="50B05655"/>
    <w:rsid w:val="511B64AC"/>
    <w:rsid w:val="512033B4"/>
    <w:rsid w:val="51670C7A"/>
    <w:rsid w:val="52112993"/>
    <w:rsid w:val="52463073"/>
    <w:rsid w:val="52974D1F"/>
    <w:rsid w:val="529B283C"/>
    <w:rsid w:val="52A66D10"/>
    <w:rsid w:val="52D90E94"/>
    <w:rsid w:val="535D3873"/>
    <w:rsid w:val="53833A8B"/>
    <w:rsid w:val="538F59F6"/>
    <w:rsid w:val="55874538"/>
    <w:rsid w:val="58566579"/>
    <w:rsid w:val="588D193B"/>
    <w:rsid w:val="59357A9F"/>
    <w:rsid w:val="593C3F2A"/>
    <w:rsid w:val="5949579C"/>
    <w:rsid w:val="59926240"/>
    <w:rsid w:val="5B372778"/>
    <w:rsid w:val="5C0276AD"/>
    <w:rsid w:val="5D011713"/>
    <w:rsid w:val="5E633C05"/>
    <w:rsid w:val="5EC96C00"/>
    <w:rsid w:val="5F39593F"/>
    <w:rsid w:val="605E4BE5"/>
    <w:rsid w:val="61717A4C"/>
    <w:rsid w:val="61A4152E"/>
    <w:rsid w:val="61E93BFD"/>
    <w:rsid w:val="62573154"/>
    <w:rsid w:val="62E85F3A"/>
    <w:rsid w:val="6300421A"/>
    <w:rsid w:val="6337272B"/>
    <w:rsid w:val="63C77932"/>
    <w:rsid w:val="63D93898"/>
    <w:rsid w:val="63EF4E54"/>
    <w:rsid w:val="64613CDE"/>
    <w:rsid w:val="64CC5AD7"/>
    <w:rsid w:val="6532762E"/>
    <w:rsid w:val="657131AE"/>
    <w:rsid w:val="65916638"/>
    <w:rsid w:val="66FC2F4B"/>
    <w:rsid w:val="67332E10"/>
    <w:rsid w:val="675E2679"/>
    <w:rsid w:val="696D56D5"/>
    <w:rsid w:val="699D5F79"/>
    <w:rsid w:val="6B07504C"/>
    <w:rsid w:val="6C53360D"/>
    <w:rsid w:val="6C8208AF"/>
    <w:rsid w:val="6CAE2F39"/>
    <w:rsid w:val="6CD52274"/>
    <w:rsid w:val="6D2467D5"/>
    <w:rsid w:val="6D91365E"/>
    <w:rsid w:val="6DDD1B99"/>
    <w:rsid w:val="6E456669"/>
    <w:rsid w:val="6E6E7968"/>
    <w:rsid w:val="6F3008B9"/>
    <w:rsid w:val="6FA549E6"/>
    <w:rsid w:val="715956D1"/>
    <w:rsid w:val="7315073F"/>
    <w:rsid w:val="74387CB8"/>
    <w:rsid w:val="75E11C8A"/>
    <w:rsid w:val="76E97048"/>
    <w:rsid w:val="777D2E6D"/>
    <w:rsid w:val="77D76A35"/>
    <w:rsid w:val="77F2017E"/>
    <w:rsid w:val="784107BD"/>
    <w:rsid w:val="78D72FF3"/>
    <w:rsid w:val="79BA72FB"/>
    <w:rsid w:val="7B1D5512"/>
    <w:rsid w:val="7B347EC4"/>
    <w:rsid w:val="7B797810"/>
    <w:rsid w:val="7BD70AF3"/>
    <w:rsid w:val="7C183F2B"/>
    <w:rsid w:val="7C5D00FB"/>
    <w:rsid w:val="7CB612DD"/>
    <w:rsid w:val="7D8A70B3"/>
    <w:rsid w:val="7DBB22F8"/>
    <w:rsid w:val="7EA226A3"/>
    <w:rsid w:val="7F182BC0"/>
    <w:rsid w:val="7F20204C"/>
    <w:rsid w:val="7FCA3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uiPriority w:val="9"/>
    <w:pPr>
      <w:keepNext/>
      <w:keepLines/>
      <w:widowControl/>
      <w:spacing w:before="480" w:line="276" w:lineRule="auto"/>
      <w:jc w:val="left"/>
      <w:outlineLvl w:val="0"/>
    </w:pPr>
    <w:rPr>
      <w:rFonts w:ascii="Cambria" w:hAnsi="Cambria"/>
      <w:b/>
      <w:bCs/>
      <w:color w:val="366091"/>
      <w:kern w:val="0"/>
      <w:sz w:val="28"/>
      <w:szCs w:val="28"/>
    </w:rPr>
  </w:style>
  <w:style w:type="character" w:default="1" w:styleId="10">
    <w:name w:val="Default Paragraph Font"/>
    <w:unhideWhenUsed/>
    <w:qFormat/>
    <w:uiPriority w:val="1"/>
  </w:style>
  <w:style w:type="table" w:default="1" w:styleId="8">
    <w:name w:val="Normal Table"/>
    <w:unhideWhenUsed/>
    <w:qFormat/>
    <w:uiPriority w:val="99"/>
    <w:rPr>
      <w:rFonts w:ascii="Calibri" w:hAnsi="Calibri" w:cs="Calibri"/>
      <w:kern w:val="2"/>
      <w:sz w:val="21"/>
      <w:szCs w:val="22"/>
    </w:rPr>
    <w:tblPr>
      <w:tblCellMar>
        <w:top w:w="0" w:type="dxa"/>
        <w:left w:w="108" w:type="dxa"/>
        <w:bottom w:w="0" w:type="dxa"/>
        <w:right w:w="108" w:type="dxa"/>
      </w:tblCellMar>
    </w:tblPr>
  </w:style>
  <w:style w:type="paragraph" w:styleId="3">
    <w:name w:val="Date"/>
    <w:basedOn w:val="1"/>
    <w:next w:val="1"/>
    <w:link w:val="12"/>
    <w:unhideWhenUsed/>
    <w:qFormat/>
    <w:uiPriority w:val="99"/>
    <w:pPr>
      <w:ind w:left="100" w:leftChars="2500"/>
    </w:pPr>
  </w:style>
  <w:style w:type="paragraph" w:styleId="4">
    <w:name w:val="Balloon Text"/>
    <w:basedOn w:val="1"/>
    <w:link w:val="13"/>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table" w:styleId="9">
    <w:name w:val="Table Grid"/>
    <w:basedOn w:val="8"/>
    <w:qFormat/>
    <w:uiPriority w:val="0"/>
    <w:pPr>
      <w:widowControl w:val="0"/>
      <w:jc w:val="both"/>
    </w:pPr>
    <w:rPr>
      <w:rFonts w:ascii="Times New Roman" w:hAnsi="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标题 1 Char"/>
    <w:basedOn w:val="10"/>
    <w:link w:val="2"/>
    <w:qFormat/>
    <w:uiPriority w:val="9"/>
    <w:rPr>
      <w:rFonts w:ascii="Cambria" w:hAnsi="Cambria" w:eastAsia="宋体" w:cs="Times New Roman"/>
      <w:b/>
      <w:bCs/>
      <w:color w:val="366091"/>
      <w:kern w:val="0"/>
      <w:sz w:val="28"/>
      <w:szCs w:val="28"/>
    </w:rPr>
  </w:style>
  <w:style w:type="character" w:customStyle="1" w:styleId="12">
    <w:name w:val="日期 Char"/>
    <w:basedOn w:val="10"/>
    <w:link w:val="3"/>
    <w:semiHidden/>
    <w:qFormat/>
    <w:uiPriority w:val="99"/>
  </w:style>
  <w:style w:type="character" w:customStyle="1" w:styleId="13">
    <w:name w:val="批注框文本 Char"/>
    <w:basedOn w:val="10"/>
    <w:link w:val="4"/>
    <w:semiHidden/>
    <w:qFormat/>
    <w:uiPriority w:val="99"/>
    <w:rPr>
      <w:sz w:val="18"/>
      <w:szCs w:val="18"/>
    </w:rPr>
  </w:style>
  <w:style w:type="character" w:customStyle="1" w:styleId="14">
    <w:name w:val="页脚 Char"/>
    <w:basedOn w:val="10"/>
    <w:link w:val="5"/>
    <w:semiHidden/>
    <w:qFormat/>
    <w:uiPriority w:val="99"/>
    <w:rPr>
      <w:sz w:val="18"/>
      <w:szCs w:val="18"/>
    </w:rPr>
  </w:style>
  <w:style w:type="character" w:customStyle="1" w:styleId="15">
    <w:name w:val="页眉 Char"/>
    <w:basedOn w:val="10"/>
    <w:link w:val="6"/>
    <w:qFormat/>
    <w:uiPriority w:val="99"/>
    <w:rPr>
      <w:sz w:val="18"/>
      <w:szCs w:val="18"/>
    </w:rPr>
  </w:style>
  <w:style w:type="paragraph" w:styleId="16">
    <w:name w:val="List Paragraph"/>
    <w:basedOn w:val="1"/>
    <w:qFormat/>
    <w:uiPriority w:val="34"/>
    <w:pPr>
      <w:ind w:firstLine="420" w:firstLineChars="200"/>
    </w:pPr>
  </w:style>
  <w:style w:type="paragraph" w:customStyle="1" w:styleId="17">
    <w:name w:val="首行缩进"/>
    <w:basedOn w:val="1"/>
    <w:qFormat/>
    <w:uiPriority w:val="0"/>
    <w:pPr>
      <w:spacing w:line="360" w:lineRule="auto"/>
      <w:ind w:firstLine="480" w:firstLineChars="200"/>
    </w:pPr>
    <w:rPr>
      <w:rFonts w:ascii="宋体" w:hAnsi="宋体" w:cs="宋体"/>
      <w:kern w:val="0"/>
      <w:sz w:val="24"/>
    </w:rPr>
  </w:style>
  <w:style w:type="character" w:customStyle="1" w:styleId="18">
    <w:name w:val="font81"/>
    <w:basedOn w:val="10"/>
    <w:qFormat/>
    <w:uiPriority w:val="0"/>
    <w:rPr>
      <w:rFonts w:ascii="MS Gothic" w:hAnsi="MS Gothic" w:eastAsia="MS Gothic" w:cs="MS Gothic"/>
      <w:color w:val="000000"/>
      <w:sz w:val="20"/>
      <w:szCs w:val="20"/>
      <w:u w:val="none"/>
    </w:rPr>
  </w:style>
  <w:style w:type="character" w:customStyle="1" w:styleId="19">
    <w:name w:val="font91"/>
    <w:basedOn w:val="10"/>
    <w:qFormat/>
    <w:uiPriority w:val="0"/>
    <w:rPr>
      <w:rFonts w:ascii="MS Gothic" w:hAnsi="MS Gothic" w:eastAsia="MS Gothic" w:cs="MS Gothic"/>
      <w:color w:val="000000"/>
      <w:sz w:val="20"/>
      <w:szCs w:val="20"/>
      <w:u w:val="none"/>
    </w:rPr>
  </w:style>
  <w:style w:type="character" w:customStyle="1" w:styleId="20">
    <w:name w:val="font11"/>
    <w:basedOn w:val="10"/>
    <w:qFormat/>
    <w:uiPriority w:val="0"/>
    <w:rPr>
      <w:rFonts w:hint="default" w:ascii="Tahoma" w:hAnsi="Tahoma" w:eastAsia="Tahoma" w:cs="Tahoma"/>
      <w:b/>
      <w:bCs/>
      <w:color w:val="FF0000"/>
      <w:sz w:val="20"/>
      <w:szCs w:val="20"/>
      <w:u w:val="none"/>
    </w:rPr>
  </w:style>
  <w:style w:type="character" w:customStyle="1" w:styleId="21">
    <w:name w:val="font21"/>
    <w:basedOn w:val="10"/>
    <w:qFormat/>
    <w:uiPriority w:val="0"/>
    <w:rPr>
      <w:rFonts w:hint="eastAsia" w:ascii="宋体" w:hAnsi="宋体" w:eastAsia="宋体" w:cs="宋体"/>
      <w:b/>
      <w:bCs/>
      <w:color w:val="FF0000"/>
      <w:sz w:val="20"/>
      <w:szCs w:val="20"/>
      <w:u w:val="none"/>
    </w:rPr>
  </w:style>
  <w:style w:type="character" w:customStyle="1" w:styleId="22">
    <w:name w:val="font51"/>
    <w:basedOn w:val="10"/>
    <w:qFormat/>
    <w:uiPriority w:val="0"/>
    <w:rPr>
      <w:rFonts w:hint="eastAsia" w:ascii="宋体" w:hAnsi="宋体" w:eastAsia="宋体" w:cs="宋体"/>
      <w:color w:val="333333"/>
      <w:sz w:val="22"/>
      <w:szCs w:val="22"/>
      <w:u w:val="none"/>
    </w:rPr>
  </w:style>
  <w:style w:type="character" w:customStyle="1" w:styleId="23">
    <w:name w:val="font41"/>
    <w:basedOn w:val="10"/>
    <w:qFormat/>
    <w:uiPriority w:val="0"/>
    <w:rPr>
      <w:rFonts w:hint="eastAsia" w:ascii="宋体" w:hAnsi="宋体" w:eastAsia="宋体" w:cs="宋体"/>
      <w:color w:val="333333"/>
      <w:sz w:val="22"/>
      <w:szCs w:val="22"/>
      <w:u w:val="none"/>
    </w:rPr>
  </w:style>
  <w:style w:type="character" w:customStyle="1" w:styleId="24">
    <w:name w:val="font61"/>
    <w:basedOn w:val="10"/>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Info spid="_x0000_s4100"/>
    <customShpInfo spid="_x0000_s4101"/>
    <customShpInfo spid="_x0000_s4103"/>
    <customShpInfo spid="_x0000_s4104"/>
    <customShpInfo spid="_x0000_s4105"/>
    <customShpInfo spid="_x0000_s4106"/>
    <customShpInfo spid="_x0000_s4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6539</Words>
  <Characters>6599</Characters>
  <Lines>189</Lines>
  <Paragraphs>53</Paragraphs>
  <TotalTime>164</TotalTime>
  <ScaleCrop>false</ScaleCrop>
  <LinksUpToDate>false</LinksUpToDate>
  <CharactersWithSpaces>6608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2023-11-08T12:56:00Z</dcterms:created>
  <dc:creator>DELL</dc:creator>
  <cp:lastModifiedBy>赵的爱人</cp:lastModifiedBy>
  <cp:lastPrinted>2024-12-10T09:12:00Z</cp:lastPrinted>
  <dcterms:modified xsi:type="dcterms:W3CDTF">2025-12-16T03:00:57Z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6775F5CE89E64457B3C0F8249A645AB0_13</vt:lpwstr>
  </property>
  <property fmtid="{D5CDD505-2E9C-101B-9397-08002B2CF9AE}" pid="4" name="KSOTemplateDocerSaveRecord">
    <vt:lpwstr>eyJoZGlkIjoiNzc4ZmM4YWEzNjlhMGYyNTI5NmQ1NzBlODQzMDYzMTciLCJ1c2VySWQiOiI1MzQ0Mzk2NzIifQ==</vt:lpwstr>
  </property>
</Properties>
</file>